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203C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</w:rPr>
        <w:t>全自动凝血分析仪</w:t>
      </w:r>
      <w:r>
        <w:rPr>
          <w:rFonts w:hint="eastAsia"/>
          <w:lang w:val="en-US" w:eastAsia="zh-CN"/>
        </w:rPr>
        <w:t>技术参数</w:t>
      </w:r>
    </w:p>
    <w:p w14:paraId="05388F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（一）基本功能与用途</w:t>
      </w:r>
    </w:p>
    <w:p w14:paraId="5AE5B0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用于临床凝血、纤溶、血栓及抗凝治疗监测等相关项目的定量与定性检测。具备全自动进样、检测、样本管理及在线质量控制等功能，可实现急诊优先智能处理。</w:t>
      </w:r>
    </w:p>
    <w:p w14:paraId="65D13282">
      <w:pPr>
        <w:rPr>
          <w:rFonts w:hint="eastAsia"/>
          <w:sz w:val="24"/>
          <w:szCs w:val="24"/>
        </w:rPr>
      </w:pPr>
    </w:p>
    <w:p w14:paraId="6E883E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（二）技术参数要求</w:t>
      </w:r>
    </w:p>
    <w:p w14:paraId="0FCF675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单机独立运行，</w:t>
      </w:r>
      <w:r>
        <w:rPr>
          <w:rFonts w:hint="eastAsia"/>
          <w:sz w:val="24"/>
          <w:szCs w:val="24"/>
          <w:lang w:val="en-US" w:eastAsia="zh-CN"/>
        </w:rPr>
        <w:t>可扩展为流水线。</w:t>
      </w:r>
    </w:p>
    <w:p w14:paraId="18266F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）检测方法学：至少同时具备凝固法、发色底物法、免疫比浊法或免疫法等多种检测方法学。</w:t>
      </w:r>
    </w:p>
    <w:p w14:paraId="0B0C26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）可开展项目：至少包括PT、APTT、FIB（多法可选）、TT、D-Dimer、FDP、AT-III等核心项目。</w:t>
      </w:r>
    </w:p>
    <w:p w14:paraId="0294AE9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）PT常规检测综合速度≥200测试/小时，可满足整体TAT要求。</w:t>
      </w:r>
    </w:p>
    <w:p w14:paraId="09ED39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）D-Dimer线性范围（原倍）上限≥4.0mg/L FEU（纤维蛋白原当量单位），试剂具有较强的抗干扰能力。</w:t>
      </w:r>
    </w:p>
    <w:p w14:paraId="347D1F9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添加试剂时无需中断检测。</w:t>
      </w:r>
    </w:p>
    <w:p w14:paraId="41409C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）具备闭盖穿刺进样功能及气溶胶自动吸附预防污染功能。</w:t>
      </w:r>
    </w:p>
    <w:p w14:paraId="399443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对各类标本具有较强的</w:t>
      </w:r>
      <w:r>
        <w:rPr>
          <w:rFonts w:hint="eastAsia"/>
          <w:sz w:val="24"/>
          <w:szCs w:val="24"/>
        </w:rPr>
        <w:t>抗干扰</w:t>
      </w:r>
      <w:r>
        <w:rPr>
          <w:rFonts w:hint="eastAsia"/>
          <w:sz w:val="24"/>
          <w:szCs w:val="24"/>
          <w:lang w:val="en-US" w:eastAsia="zh-CN"/>
        </w:rPr>
        <w:t>能力。</w:t>
      </w:r>
    </w:p>
    <w:p w14:paraId="33A703B8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仪器性能</w:t>
      </w:r>
    </w:p>
    <w:p w14:paraId="276AAB4D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sz w:val="24"/>
          <w:szCs w:val="24"/>
          <w:lang w:val="en-US" w:eastAsia="zh-CN"/>
        </w:rPr>
        <w:t>PT、APTT、 Fg、 TT、D2聚体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项目CV值低于国家行业标准的规定。</w:t>
      </w:r>
    </w:p>
    <w:p w14:paraId="319958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）设备在国家卫健委室间质评中有独立分组。</w:t>
      </w:r>
    </w:p>
    <w:p w14:paraId="412E70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）具有双向LIS通信功能，支持条形码扫描管理。</w:t>
      </w:r>
    </w:p>
    <w:p w14:paraId="675D3D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其他要求</w:t>
      </w:r>
    </w:p>
    <w:p w14:paraId="100F3F0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（1）设备应具有有效的医疗器械注册证。</w:t>
      </w:r>
    </w:p>
    <w:p w14:paraId="0B082D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348E"/>
    <w:rsid w:val="3391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2026-05-25T08:33:00Z</dcterms:created>
  <dc:creator>至诚之力</dc:creator>
  <cp:lastModifiedBy>至诚之力</cp:lastModifiedBy>
  <dcterms:modified xsi:type="dcterms:W3CDTF">2026-05-25T08:34:43Z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5005B79772AF4734828ABB466555EA20_11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