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3AC78">
      <w:pPr>
        <w:spacing w:before="100" w:after="100" w:line="360" w:lineRule="auto"/>
        <w:jc w:val="both"/>
        <w:rPr>
          <w:rFonts w:hint="eastAsia" w:ascii="宋体" w:hAnsi="宋体" w:eastAsia="宋体"/>
          <w:b/>
          <w:sz w:val="56"/>
          <w:szCs w:val="56"/>
        </w:rPr>
      </w:pPr>
      <w:bookmarkStart w:id="0" w:name="_Toc458262589"/>
    </w:p>
    <w:p w14:paraId="0DB4D657">
      <w:pPr>
        <w:pStyle w:val="2"/>
        <w:rPr>
          <w:rFonts w:hint="eastAsia"/>
        </w:rPr>
      </w:pPr>
    </w:p>
    <w:p w14:paraId="09393AFD">
      <w:pPr>
        <w:spacing w:before="100" w:after="100" w:line="360" w:lineRule="auto"/>
        <w:jc w:val="center"/>
        <w:rPr>
          <w:rFonts w:hint="default" w:ascii="宋体" w:hAnsi="宋体" w:eastAsia="宋体"/>
          <w:b/>
          <w:sz w:val="56"/>
          <w:szCs w:val="56"/>
          <w:lang w:val="en-US" w:eastAsia="zh-CN"/>
        </w:rPr>
      </w:pPr>
      <w:r>
        <w:rPr>
          <w:rFonts w:hint="eastAsia" w:ascii="宋体" w:hAnsi="宋体" w:eastAsia="宋体"/>
          <w:b/>
          <w:sz w:val="56"/>
          <w:szCs w:val="56"/>
        </w:rPr>
        <w:t>开平市中心医院</w:t>
      </w:r>
      <w:r>
        <w:rPr>
          <w:rFonts w:hint="eastAsia" w:ascii="宋体" w:hAnsi="宋体" w:eastAsia="宋体"/>
          <w:b/>
          <w:sz w:val="56"/>
          <w:szCs w:val="56"/>
          <w:lang w:val="en-US" w:eastAsia="zh-CN"/>
        </w:rPr>
        <w:t>病案密集架</w:t>
      </w:r>
    </w:p>
    <w:p w14:paraId="1BC3878A">
      <w:pPr>
        <w:spacing w:before="100" w:after="100" w:line="360" w:lineRule="auto"/>
        <w:jc w:val="center"/>
        <w:rPr>
          <w:rFonts w:hint="eastAsia" w:ascii="宋体" w:hAnsi="宋体" w:eastAsia="宋体"/>
          <w:b/>
          <w:sz w:val="56"/>
          <w:szCs w:val="56"/>
        </w:rPr>
      </w:pPr>
      <w:r>
        <w:rPr>
          <w:rFonts w:hint="eastAsia" w:ascii="宋体" w:hAnsi="宋体" w:eastAsia="宋体"/>
          <w:b/>
          <w:sz w:val="56"/>
          <w:szCs w:val="56"/>
        </w:rPr>
        <w:t>采购项目</w:t>
      </w:r>
    </w:p>
    <w:p w14:paraId="08C8ADDF">
      <w:pPr>
        <w:pStyle w:val="2"/>
      </w:pPr>
    </w:p>
    <w:p w14:paraId="3E41906E">
      <w:pPr>
        <w:spacing w:line="360" w:lineRule="auto"/>
        <w:jc w:val="center"/>
        <w:outlineLvl w:val="0"/>
        <w:rPr>
          <w:rFonts w:hint="eastAsia" w:ascii="宋体" w:hAnsi="宋体" w:eastAsia="宋体"/>
          <w:b/>
          <w:sz w:val="52"/>
          <w:szCs w:val="52"/>
          <w:lang w:val="en-US" w:eastAsia="zh-CN"/>
        </w:rPr>
      </w:pPr>
    </w:p>
    <w:p w14:paraId="3C86C943">
      <w:pPr>
        <w:spacing w:line="360" w:lineRule="auto"/>
        <w:jc w:val="both"/>
        <w:outlineLvl w:val="0"/>
        <w:rPr>
          <w:rFonts w:hint="eastAsia" w:ascii="宋体" w:hAnsi="宋体" w:eastAsia="宋体"/>
          <w:b/>
          <w:sz w:val="52"/>
          <w:szCs w:val="52"/>
          <w:lang w:val="en-US" w:eastAsia="zh-CN"/>
        </w:rPr>
      </w:pPr>
    </w:p>
    <w:p w14:paraId="29CAF9CF">
      <w:pPr>
        <w:spacing w:line="360" w:lineRule="auto"/>
        <w:jc w:val="center"/>
        <w:outlineLvl w:val="0"/>
        <w:rPr>
          <w:rFonts w:hint="eastAsia" w:ascii="宋体" w:hAnsi="宋体" w:eastAsia="宋体"/>
          <w:b/>
          <w:sz w:val="52"/>
          <w:szCs w:val="52"/>
          <w:lang w:val="en-US" w:eastAsia="zh-CN"/>
        </w:rPr>
      </w:pPr>
    </w:p>
    <w:p w14:paraId="62BCA197">
      <w:pPr>
        <w:spacing w:line="360" w:lineRule="auto"/>
        <w:jc w:val="center"/>
        <w:outlineLvl w:val="0"/>
        <w:rPr>
          <w:rFonts w:ascii="宋体" w:hAnsi="宋体" w:eastAsia="宋体"/>
          <w:b/>
          <w:sz w:val="52"/>
          <w:szCs w:val="52"/>
        </w:rPr>
      </w:pPr>
      <w:r>
        <w:rPr>
          <w:rFonts w:hint="eastAsia" w:ascii="宋体" w:hAnsi="宋体" w:eastAsia="宋体"/>
          <w:b/>
          <w:sz w:val="52"/>
          <w:szCs w:val="52"/>
          <w:lang w:val="en-US" w:eastAsia="zh-CN"/>
        </w:rPr>
        <w:t>遴</w:t>
      </w:r>
      <w:r>
        <w:rPr>
          <w:rFonts w:hint="eastAsia" w:ascii="宋体" w:hAnsi="宋体" w:eastAsia="宋体"/>
          <w:b/>
          <w:sz w:val="52"/>
          <w:szCs w:val="52"/>
        </w:rPr>
        <w:t xml:space="preserve"> </w:t>
      </w:r>
      <w:r>
        <w:rPr>
          <w:rFonts w:hint="eastAsia" w:ascii="宋体" w:hAnsi="宋体" w:eastAsia="宋体"/>
          <w:b/>
          <w:sz w:val="52"/>
          <w:szCs w:val="52"/>
          <w:lang w:val="en-US" w:eastAsia="zh-CN"/>
        </w:rPr>
        <w:t>选</w:t>
      </w:r>
      <w:r>
        <w:rPr>
          <w:rFonts w:ascii="宋体" w:hAnsi="宋体" w:eastAsia="宋体"/>
          <w:b/>
          <w:sz w:val="52"/>
          <w:szCs w:val="52"/>
        </w:rPr>
        <w:t xml:space="preserve"> 文 件</w:t>
      </w:r>
    </w:p>
    <w:p w14:paraId="72AB372E">
      <w:pPr>
        <w:spacing w:line="360" w:lineRule="auto"/>
        <w:jc w:val="center"/>
        <w:rPr>
          <w:rFonts w:ascii="宋体" w:hAnsi="宋体" w:eastAsia="宋体"/>
          <w:b/>
          <w:sz w:val="36"/>
          <w:szCs w:val="36"/>
        </w:rPr>
      </w:pPr>
    </w:p>
    <w:p w14:paraId="29017078">
      <w:pPr>
        <w:spacing w:line="360" w:lineRule="auto"/>
        <w:jc w:val="center"/>
        <w:rPr>
          <w:rFonts w:ascii="宋体" w:hAnsi="宋体" w:eastAsia="宋体"/>
          <w:b/>
          <w:sz w:val="36"/>
          <w:szCs w:val="36"/>
        </w:rPr>
      </w:pPr>
    </w:p>
    <w:p w14:paraId="6960BB10">
      <w:pPr>
        <w:spacing w:line="360" w:lineRule="auto"/>
        <w:jc w:val="center"/>
        <w:rPr>
          <w:rFonts w:ascii="宋体" w:hAnsi="宋体" w:eastAsia="宋体"/>
          <w:b/>
          <w:sz w:val="36"/>
          <w:szCs w:val="36"/>
        </w:rPr>
      </w:pPr>
    </w:p>
    <w:p w14:paraId="042FAE74">
      <w:pPr>
        <w:spacing w:line="360" w:lineRule="auto"/>
        <w:rPr>
          <w:rFonts w:ascii="宋体" w:hAnsi="宋体" w:eastAsia="宋体"/>
          <w:b/>
          <w:sz w:val="36"/>
          <w:szCs w:val="36"/>
        </w:rPr>
      </w:pPr>
    </w:p>
    <w:p w14:paraId="3AB1D79C">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b/>
          <w:sz w:val="32"/>
        </w:rPr>
      </w:pPr>
      <w:bookmarkStart w:id="1" w:name="_Hlk169100851"/>
    </w:p>
    <w:p w14:paraId="594C8AC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b/>
          <w:sz w:val="32"/>
        </w:rPr>
      </w:pPr>
      <w:r>
        <w:rPr>
          <w:rFonts w:hint="eastAsia" w:ascii="宋体" w:hAnsi="宋体" w:eastAsia="宋体"/>
          <w:b/>
          <w:sz w:val="32"/>
        </w:rPr>
        <w:t>开平市中心医院</w:t>
      </w:r>
    </w:p>
    <w:bookmarkEnd w:id="1"/>
    <w:p w14:paraId="0353301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32"/>
          <w:szCs w:val="32"/>
          <w:lang w:val="en-US" w:eastAsia="zh-CN"/>
        </w:rPr>
        <w:sectPr>
          <w:headerReference r:id="rId4" w:type="first"/>
          <w:footerReference r:id="rId6" w:type="first"/>
          <w:headerReference r:id="rId3" w:type="default"/>
          <w:footerReference r:id="rId5" w:type="default"/>
          <w:pgSz w:w="11906" w:h="16838"/>
          <w:pgMar w:top="1440" w:right="1106" w:bottom="1440" w:left="1259" w:header="851" w:footer="992" w:gutter="0"/>
          <w:pgNumType w:fmt="decimal" w:start="1"/>
          <w:cols w:space="720" w:num="1"/>
          <w:titlePg/>
          <w:docGrid w:type="lines" w:linePitch="312" w:charSpace="0"/>
        </w:sectPr>
      </w:pPr>
      <w:r>
        <w:rPr>
          <w:rFonts w:hint="eastAsia" w:ascii="宋体" w:hAnsi="宋体" w:eastAsia="宋体" w:cs="宋体"/>
          <w:b/>
          <w:sz w:val="32"/>
          <w:szCs w:val="32"/>
        </w:rPr>
        <w:t>二〇二</w:t>
      </w:r>
      <w:r>
        <w:rPr>
          <w:rFonts w:hint="eastAsia" w:ascii="宋体" w:hAnsi="宋体" w:eastAsia="宋体" w:cs="宋体"/>
          <w:b/>
          <w:sz w:val="32"/>
          <w:szCs w:val="32"/>
          <w:lang w:eastAsia="zh-CN"/>
        </w:rPr>
        <w:t>五</w:t>
      </w:r>
      <w:r>
        <w:rPr>
          <w:rFonts w:hint="eastAsia" w:ascii="宋体" w:hAnsi="宋体" w:eastAsia="宋体" w:cs="宋体"/>
          <w:b/>
          <w:sz w:val="32"/>
          <w:szCs w:val="32"/>
        </w:rPr>
        <w:t>年</w:t>
      </w:r>
      <w:r>
        <w:rPr>
          <w:rFonts w:hint="eastAsia" w:ascii="宋体" w:hAnsi="宋体" w:eastAsia="宋体" w:cs="宋体"/>
          <w:b/>
          <w:sz w:val="32"/>
          <w:szCs w:val="32"/>
          <w:lang w:val="en-US" w:eastAsia="zh-CN"/>
        </w:rPr>
        <w:t>九月</w:t>
      </w:r>
    </w:p>
    <w:p w14:paraId="5A8714DD">
      <w:pPr>
        <w:pStyle w:val="30"/>
        <w:spacing w:line="360" w:lineRule="auto"/>
        <w:ind w:left="300" w:right="300"/>
        <w:jc w:val="center"/>
        <w:outlineLvl w:val="0"/>
        <w:rPr>
          <w:rFonts w:ascii="宋体"/>
          <w:b/>
          <w:szCs w:val="28"/>
        </w:rPr>
      </w:pPr>
    </w:p>
    <w:p w14:paraId="01C83A05">
      <w:pPr>
        <w:pStyle w:val="30"/>
        <w:spacing w:line="360" w:lineRule="auto"/>
        <w:ind w:left="300" w:right="300"/>
        <w:jc w:val="center"/>
        <w:outlineLvl w:val="0"/>
        <w:rPr>
          <w:rFonts w:ascii="宋体"/>
          <w:sz w:val="30"/>
          <w:szCs w:val="30"/>
        </w:rPr>
      </w:pPr>
      <w:r>
        <w:rPr>
          <w:rFonts w:ascii="宋体"/>
          <w:b/>
          <w:sz w:val="30"/>
          <w:szCs w:val="30"/>
        </w:rPr>
        <w:t>目    录</w:t>
      </w:r>
    </w:p>
    <w:p w14:paraId="2673AF3D">
      <w:pPr>
        <w:pStyle w:val="30"/>
        <w:tabs>
          <w:tab w:val="right" w:leader="dot" w:pos="7938"/>
          <w:tab w:val="clear" w:pos="8505"/>
        </w:tabs>
        <w:spacing w:line="360" w:lineRule="auto"/>
        <w:ind w:right="393" w:rightChars="131"/>
        <w:jc w:val="center"/>
        <w:rPr>
          <w:rFonts w:hint="eastAsia" w:ascii="宋体" w:hAnsi="宋体" w:eastAsia="宋体" w:cs="宋体"/>
          <w:sz w:val="28"/>
          <w:szCs w:val="28"/>
          <w14:ligatures w14:val="standardContextual"/>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TOC \o "1-2" \h \z \u </w:instrText>
      </w:r>
      <w:r>
        <w:rPr>
          <w:rFonts w:hint="eastAsia" w:ascii="宋体" w:hAnsi="宋体" w:eastAsia="宋体" w:cs="宋体"/>
          <w:bCs w:val="0"/>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"_Toc169861802" </w:instrText>
      </w:r>
      <w:r>
        <w:rPr>
          <w:rFonts w:hint="eastAsia" w:ascii="宋体" w:hAnsi="宋体" w:eastAsia="宋体" w:cs="宋体"/>
          <w:sz w:val="28"/>
          <w:szCs w:val="28"/>
        </w:rPr>
        <w:fldChar w:fldCharType="separate"/>
      </w:r>
      <w:r>
        <w:rPr>
          <w:rStyle w:val="48"/>
          <w:rFonts w:hint="eastAsia" w:ascii="宋体" w:hAnsi="宋体" w:eastAsia="宋体" w:cs="宋体"/>
          <w:sz w:val="28"/>
          <w:szCs w:val="28"/>
        </w:rPr>
        <w:t xml:space="preserve">第一部分 </w:t>
      </w:r>
      <w:r>
        <w:rPr>
          <w:rStyle w:val="48"/>
          <w:rFonts w:hint="eastAsia" w:ascii="宋体" w:hAnsi="宋体" w:eastAsia="宋体" w:cs="宋体"/>
          <w:sz w:val="28"/>
          <w:szCs w:val="28"/>
          <w:lang w:eastAsia="zh-CN"/>
        </w:rPr>
        <w:t>遴选</w:t>
      </w:r>
      <w:r>
        <w:rPr>
          <w:rStyle w:val="48"/>
          <w:rFonts w:hint="eastAsia" w:ascii="宋体" w:hAnsi="宋体" w:eastAsia="宋体" w:cs="宋体"/>
          <w:sz w:val="28"/>
          <w:szCs w:val="28"/>
        </w:rPr>
        <w:t>邀请函</w:t>
      </w:r>
      <w:r>
        <w:rPr>
          <w:rFonts w:hint="eastAsia" w:ascii="宋体" w:hAnsi="宋体" w:eastAsia="宋体" w:cs="宋体"/>
          <w:sz w:val="28"/>
          <w:szCs w:val="28"/>
        </w:rPr>
        <w:tab/>
      </w:r>
      <w:r>
        <w:rPr>
          <w:rFonts w:hint="eastAsia" w:ascii="宋体" w:hAnsi="宋体" w:eastAsia="宋体" w:cs="宋体"/>
          <w:sz w:val="28"/>
          <w:szCs w:val="28"/>
          <w:lang w:val="en-US" w:eastAsia="zh-CN"/>
        </w:rPr>
        <w:t>3</w:t>
      </w:r>
      <w:r>
        <w:rPr>
          <w:rFonts w:hint="eastAsia" w:ascii="宋体" w:hAnsi="宋体" w:eastAsia="宋体" w:cs="宋体"/>
          <w:sz w:val="28"/>
          <w:szCs w:val="28"/>
        </w:rPr>
        <w:fldChar w:fldCharType="end"/>
      </w:r>
    </w:p>
    <w:p w14:paraId="405E9E8B">
      <w:pPr>
        <w:pStyle w:val="30"/>
        <w:tabs>
          <w:tab w:val="right" w:leader="dot" w:pos="7938"/>
          <w:tab w:val="clear" w:pos="8505"/>
        </w:tabs>
        <w:spacing w:line="360" w:lineRule="auto"/>
        <w:ind w:right="393" w:rightChars="131"/>
        <w:jc w:val="center"/>
        <w:rPr>
          <w:rFonts w:hint="eastAsia" w:ascii="宋体" w:hAnsi="宋体" w:eastAsia="宋体" w:cs="宋体"/>
          <w:sz w:val="28"/>
          <w:szCs w:val="28"/>
          <w:lang w:val="en-US" w:eastAsia="zh-CN"/>
          <w14:ligatures w14:val="standardContextual"/>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"_Toc169861813" </w:instrText>
      </w:r>
      <w:r>
        <w:rPr>
          <w:rFonts w:hint="eastAsia" w:ascii="宋体" w:hAnsi="宋体" w:eastAsia="宋体" w:cs="宋体"/>
          <w:sz w:val="28"/>
          <w:szCs w:val="28"/>
        </w:rPr>
        <w:fldChar w:fldCharType="separate"/>
      </w:r>
      <w:r>
        <w:rPr>
          <w:rStyle w:val="48"/>
          <w:rFonts w:hint="eastAsia" w:ascii="宋体" w:hAnsi="宋体" w:eastAsia="宋体" w:cs="宋体"/>
          <w:sz w:val="28"/>
          <w:szCs w:val="28"/>
        </w:rPr>
        <w:t>第</w:t>
      </w:r>
      <w:r>
        <w:rPr>
          <w:rStyle w:val="48"/>
          <w:rFonts w:hint="eastAsia" w:ascii="宋体" w:hAnsi="宋体" w:eastAsia="宋体" w:cs="宋体"/>
          <w:sz w:val="28"/>
          <w:szCs w:val="28"/>
          <w:lang w:val="en-US" w:eastAsia="zh-CN"/>
        </w:rPr>
        <w:t>二</w:t>
      </w:r>
      <w:r>
        <w:rPr>
          <w:rStyle w:val="48"/>
          <w:rFonts w:hint="eastAsia" w:ascii="宋体" w:hAnsi="宋体" w:eastAsia="宋体" w:cs="宋体"/>
          <w:sz w:val="28"/>
          <w:szCs w:val="28"/>
        </w:rPr>
        <w:t>部分 供应商须知</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cs="宋体"/>
          <w:sz w:val="28"/>
          <w:szCs w:val="28"/>
          <w:lang w:val="en-US" w:eastAsia="zh-CN"/>
        </w:rPr>
        <w:t>1</w:t>
      </w:r>
      <w:r>
        <w:rPr>
          <w:rFonts w:hint="eastAsia" w:ascii="宋体" w:hAnsi="宋体" w:eastAsia="宋体" w:cs="宋体"/>
          <w:sz w:val="28"/>
          <w:szCs w:val="28"/>
        </w:rPr>
        <w:fldChar w:fldCharType="end"/>
      </w:r>
      <w:r>
        <w:rPr>
          <w:rFonts w:hint="eastAsia" w:ascii="宋体" w:cs="宋体"/>
          <w:sz w:val="28"/>
          <w:szCs w:val="28"/>
          <w:lang w:val="en-US" w:eastAsia="zh-CN"/>
        </w:rPr>
        <w:t>0</w:t>
      </w:r>
    </w:p>
    <w:p w14:paraId="535FE202">
      <w:pPr>
        <w:pStyle w:val="30"/>
        <w:tabs>
          <w:tab w:val="right" w:leader="dot" w:pos="7938"/>
          <w:tab w:val="clear" w:pos="8505"/>
        </w:tabs>
        <w:spacing w:line="360" w:lineRule="auto"/>
        <w:ind w:right="393" w:rightChars="131"/>
        <w:jc w:val="center"/>
        <w:rPr>
          <w:rFonts w:hint="eastAsia" w:ascii="宋体" w:hAnsi="宋体" w:eastAsia="宋体" w:cs="宋体"/>
          <w:bCs w:val="0"/>
          <w:sz w:val="28"/>
          <w:szCs w:val="28"/>
          <w14:ligatures w14:val="standardContextual"/>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"_Toc169861823" </w:instrText>
      </w:r>
      <w:r>
        <w:rPr>
          <w:rFonts w:hint="eastAsia" w:ascii="宋体" w:hAnsi="宋体" w:eastAsia="宋体" w:cs="宋体"/>
          <w:sz w:val="28"/>
          <w:szCs w:val="28"/>
        </w:rPr>
        <w:fldChar w:fldCharType="separate"/>
      </w:r>
      <w:r>
        <w:rPr>
          <w:rStyle w:val="48"/>
          <w:rFonts w:hint="eastAsia" w:ascii="宋体" w:hAnsi="宋体" w:eastAsia="宋体" w:cs="宋体"/>
          <w:sz w:val="28"/>
          <w:szCs w:val="28"/>
        </w:rPr>
        <w:t>第</w:t>
      </w:r>
      <w:r>
        <w:rPr>
          <w:rStyle w:val="48"/>
          <w:rFonts w:hint="eastAsia" w:ascii="宋体" w:hAnsi="宋体" w:eastAsia="宋体" w:cs="宋体"/>
          <w:sz w:val="28"/>
          <w:szCs w:val="28"/>
          <w:lang w:val="en-US" w:eastAsia="zh-CN"/>
        </w:rPr>
        <w:t>三</w:t>
      </w:r>
      <w:r>
        <w:rPr>
          <w:rStyle w:val="48"/>
          <w:rFonts w:hint="eastAsia" w:ascii="宋体" w:hAnsi="宋体" w:eastAsia="宋体" w:cs="宋体"/>
          <w:sz w:val="28"/>
          <w:szCs w:val="28"/>
        </w:rPr>
        <w:t>部分 评审</w:t>
      </w:r>
      <w:r>
        <w:rPr>
          <w:rStyle w:val="48"/>
          <w:rFonts w:hint="eastAsia" w:ascii="宋体" w:cs="宋体"/>
          <w:sz w:val="28"/>
          <w:szCs w:val="28"/>
          <w:lang w:val="en-US" w:eastAsia="zh-CN"/>
        </w:rPr>
        <w:t>内容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_Toc169861823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cs="宋体"/>
          <w:sz w:val="28"/>
          <w:szCs w:val="28"/>
          <w:lang w:val="en-US" w:eastAsia="zh-CN"/>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9727DEF">
      <w:pPr>
        <w:pStyle w:val="30"/>
        <w:tabs>
          <w:tab w:val="right" w:leader="dot" w:pos="7938"/>
          <w:tab w:val="clear" w:pos="8505"/>
        </w:tabs>
        <w:spacing w:line="360" w:lineRule="auto"/>
        <w:ind w:right="393" w:rightChars="131"/>
        <w:jc w:val="center"/>
        <w:rPr>
          <w:rFonts w:hint="eastAsia" w:ascii="宋体" w:hAnsi="宋体" w:eastAsia="宋体" w:cs="宋体"/>
          <w:bCs w:val="0"/>
          <w:sz w:val="28"/>
          <w:szCs w:val="28"/>
          <w:lang w:val="en-US" w:eastAsia="zh-CN"/>
          <w14:ligatures w14:val="standardContextual"/>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"_Toc169861824" </w:instrText>
      </w:r>
      <w:r>
        <w:rPr>
          <w:rFonts w:hint="eastAsia" w:ascii="宋体" w:hAnsi="宋体" w:eastAsia="宋体" w:cs="宋体"/>
          <w:sz w:val="28"/>
          <w:szCs w:val="28"/>
        </w:rPr>
        <w:fldChar w:fldCharType="separate"/>
      </w:r>
      <w:r>
        <w:rPr>
          <w:rStyle w:val="48"/>
          <w:rFonts w:hint="eastAsia" w:ascii="宋体" w:hAnsi="宋体" w:eastAsia="宋体" w:cs="宋体"/>
          <w:sz w:val="28"/>
          <w:szCs w:val="28"/>
        </w:rPr>
        <w:t>第</w:t>
      </w:r>
      <w:r>
        <w:rPr>
          <w:rStyle w:val="48"/>
          <w:rFonts w:hint="eastAsia" w:ascii="宋体" w:hAnsi="宋体" w:eastAsia="宋体" w:cs="宋体"/>
          <w:sz w:val="28"/>
          <w:szCs w:val="28"/>
          <w:lang w:val="en-US" w:eastAsia="zh-CN"/>
        </w:rPr>
        <w:t>四</w:t>
      </w:r>
      <w:r>
        <w:rPr>
          <w:rStyle w:val="48"/>
          <w:rFonts w:hint="eastAsia" w:ascii="宋体" w:hAnsi="宋体" w:eastAsia="宋体" w:cs="宋体"/>
          <w:sz w:val="28"/>
          <w:szCs w:val="28"/>
        </w:rPr>
        <w:t>部分 合同书格式</w:t>
      </w:r>
      <w:r>
        <w:rPr>
          <w:rFonts w:hint="eastAsia" w:ascii="宋体" w:hAnsi="宋体" w:eastAsia="宋体" w:cs="宋体"/>
          <w:sz w:val="28"/>
          <w:szCs w:val="28"/>
        </w:rPr>
        <w:tab/>
      </w:r>
      <w:r>
        <w:rPr>
          <w:rFonts w:hint="eastAsia" w:ascii="宋体" w:cs="宋体"/>
          <w:sz w:val="28"/>
          <w:szCs w:val="28"/>
          <w:lang w:val="en-US" w:eastAsia="zh-CN"/>
        </w:rPr>
        <w:t>2</w:t>
      </w:r>
      <w:r>
        <w:rPr>
          <w:rFonts w:hint="eastAsia" w:ascii="宋体" w:hAnsi="宋体" w:eastAsia="宋体" w:cs="宋体"/>
          <w:sz w:val="28"/>
          <w:szCs w:val="28"/>
        </w:rPr>
        <w:fldChar w:fldCharType="end"/>
      </w:r>
      <w:r>
        <w:rPr>
          <w:rFonts w:hint="eastAsia" w:ascii="宋体" w:cs="宋体"/>
          <w:sz w:val="28"/>
          <w:szCs w:val="28"/>
          <w:lang w:val="en-US" w:eastAsia="zh-CN"/>
        </w:rPr>
        <w:t>2</w:t>
      </w:r>
    </w:p>
    <w:p w14:paraId="5015A6E6">
      <w:pPr>
        <w:pStyle w:val="30"/>
        <w:tabs>
          <w:tab w:val="right" w:leader="dot" w:pos="7938"/>
          <w:tab w:val="clear" w:pos="8505"/>
        </w:tabs>
        <w:spacing w:line="360" w:lineRule="auto"/>
        <w:ind w:right="393" w:rightChars="131"/>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"_Toc169861825" </w:instrText>
      </w:r>
      <w:r>
        <w:rPr>
          <w:rFonts w:hint="eastAsia" w:ascii="宋体" w:hAnsi="宋体" w:eastAsia="宋体" w:cs="宋体"/>
          <w:sz w:val="28"/>
          <w:szCs w:val="28"/>
        </w:rPr>
        <w:fldChar w:fldCharType="separate"/>
      </w:r>
      <w:r>
        <w:rPr>
          <w:rStyle w:val="48"/>
          <w:rFonts w:hint="eastAsia" w:ascii="宋体" w:hAnsi="宋体" w:eastAsia="宋体" w:cs="宋体"/>
          <w:sz w:val="28"/>
          <w:szCs w:val="28"/>
        </w:rPr>
        <w:t>第</w:t>
      </w:r>
      <w:r>
        <w:rPr>
          <w:rStyle w:val="48"/>
          <w:rFonts w:hint="eastAsia" w:ascii="宋体" w:hAnsi="宋体" w:eastAsia="宋体" w:cs="宋体"/>
          <w:sz w:val="28"/>
          <w:szCs w:val="28"/>
          <w:lang w:val="en-US" w:eastAsia="zh-CN"/>
        </w:rPr>
        <w:t>五</w:t>
      </w:r>
      <w:r>
        <w:rPr>
          <w:rStyle w:val="48"/>
          <w:rFonts w:hint="eastAsia" w:ascii="宋体" w:hAnsi="宋体" w:eastAsia="宋体" w:cs="宋体"/>
          <w:sz w:val="28"/>
          <w:szCs w:val="28"/>
        </w:rPr>
        <w:t>部分 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_Toc169861825 \h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2</w:t>
      </w:r>
      <w:r>
        <w:rPr>
          <w:rFonts w:hint="eastAsia" w:ascii="宋体" w:cs="宋体"/>
          <w:sz w:val="28"/>
          <w:szCs w:val="28"/>
          <w:lang w:val="en-US" w:eastAsia="zh-CN"/>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r>
        <w:rPr>
          <w:rFonts w:hint="eastAsia" w:ascii="宋体" w:hAnsi="宋体" w:eastAsia="宋体" w:cs="宋体"/>
          <w:b/>
          <w:sz w:val="28"/>
          <w:szCs w:val="28"/>
        </w:rPr>
        <w:fldChar w:fldCharType="end"/>
      </w:r>
      <w:bookmarkStart w:id="2" w:name="_Toc56352965"/>
      <w:bookmarkStart w:id="3" w:name="_Toc52021495"/>
      <w:bookmarkStart w:id="4" w:name="_Toc51756448"/>
      <w:bookmarkStart w:id="5" w:name="_Toc51939413"/>
      <w:bookmarkStart w:id="6" w:name="_Toc52027882"/>
      <w:bookmarkStart w:id="7" w:name="_Toc486671525"/>
      <w:bookmarkStart w:id="8" w:name="_Toc467236720"/>
      <w:bookmarkStart w:id="9" w:name="_Toc476976153"/>
      <w:r>
        <w:br w:type="page"/>
      </w:r>
    </w:p>
    <w:p w14:paraId="41452421">
      <w:pPr>
        <w:pStyle w:val="3"/>
        <w:keepNext w:val="0"/>
        <w:keepLines w:val="0"/>
        <w:snapToGrid w:val="0"/>
        <w:spacing w:before="0" w:after="0" w:line="360" w:lineRule="auto"/>
        <w:ind w:firstLine="426" w:firstLineChars="118"/>
        <w:jc w:val="center"/>
        <w:rPr>
          <w:rFonts w:ascii="Times New Roman"/>
          <w:sz w:val="36"/>
          <w:szCs w:val="28"/>
        </w:rPr>
      </w:pPr>
      <w:bookmarkStart w:id="10" w:name="_Toc169861802"/>
      <w:r>
        <w:rPr>
          <w:rFonts w:ascii="Times New Roman"/>
          <w:sz w:val="36"/>
          <w:szCs w:val="28"/>
        </w:rPr>
        <w:t>第一部分</w:t>
      </w:r>
      <w:bookmarkEnd w:id="2"/>
      <w:bookmarkEnd w:id="3"/>
      <w:bookmarkEnd w:id="4"/>
      <w:bookmarkEnd w:id="5"/>
      <w:bookmarkEnd w:id="6"/>
      <w:r>
        <w:rPr>
          <w:rFonts w:ascii="Times New Roman"/>
          <w:sz w:val="36"/>
          <w:szCs w:val="28"/>
        </w:rPr>
        <w:t xml:space="preserve">  </w:t>
      </w:r>
      <w:r>
        <w:rPr>
          <w:rFonts w:hint="eastAsia" w:ascii="Times New Roman"/>
          <w:sz w:val="36"/>
          <w:szCs w:val="28"/>
          <w:lang w:eastAsia="zh-CN"/>
        </w:rPr>
        <w:t>遴选</w:t>
      </w:r>
      <w:r>
        <w:rPr>
          <w:rFonts w:ascii="Times New Roman"/>
          <w:sz w:val="36"/>
          <w:szCs w:val="28"/>
        </w:rPr>
        <w:t>邀请函</w:t>
      </w:r>
      <w:bookmarkEnd w:id="0"/>
      <w:bookmarkEnd w:id="7"/>
      <w:bookmarkEnd w:id="8"/>
      <w:bookmarkEnd w:id="9"/>
      <w:bookmarkEnd w:id="10"/>
    </w:p>
    <w:p w14:paraId="453FD9F5">
      <w:pPr>
        <w:pStyle w:val="6"/>
        <w:pageBreakBefore w:val="0"/>
        <w:widowControl w:val="0"/>
        <w:kinsoku/>
        <w:wordWrap/>
        <w:overflowPunct/>
        <w:topLinePunct w:val="0"/>
        <w:bidi w:val="0"/>
        <w:snapToGrid/>
        <w:spacing w:before="0" w:after="0" w:line="480" w:lineRule="exact"/>
        <w:ind w:left="0" w:firstLine="482" w:firstLineChars="200"/>
        <w:rPr>
          <w:rFonts w:hint="eastAsia" w:ascii="宋体" w:hAnsi="宋体" w:eastAsia="宋体" w:cs="宋体"/>
          <w:bCs/>
          <w:sz w:val="24"/>
        </w:rPr>
      </w:pPr>
      <w:bookmarkStart w:id="11" w:name="_Toc51756450"/>
      <w:bookmarkStart w:id="12" w:name="_Toc467236722"/>
      <w:bookmarkStart w:id="13" w:name="_Toc52021497"/>
      <w:bookmarkStart w:id="14" w:name="_Toc476976154"/>
      <w:bookmarkStart w:id="15" w:name="_Toc486671526"/>
      <w:bookmarkStart w:id="16" w:name="_Toc56352967"/>
      <w:bookmarkStart w:id="17" w:name="_Toc52027884"/>
      <w:bookmarkStart w:id="18" w:name="_Toc458262591"/>
      <w:bookmarkStart w:id="19" w:name="_Toc51939415"/>
      <w:r>
        <w:rPr>
          <w:rFonts w:hint="eastAsia" w:ascii="宋体" w:hAnsi="宋体" w:eastAsia="宋体" w:cs="宋体"/>
          <w:bCs/>
          <w:sz w:val="24"/>
        </w:rPr>
        <w:t>本项目为</w:t>
      </w:r>
      <w:r>
        <w:rPr>
          <w:rFonts w:hint="eastAsia" w:hAnsi="宋体" w:cs="宋体"/>
          <w:bCs/>
          <w:sz w:val="24"/>
          <w:lang w:eastAsia="zh-CN"/>
        </w:rPr>
        <w:t>开平市中心医院病案密集架采购项目</w:t>
      </w:r>
      <w:r>
        <w:rPr>
          <w:rFonts w:hint="eastAsia" w:ascii="宋体" w:hAnsi="宋体" w:eastAsia="宋体" w:cs="宋体"/>
          <w:bCs/>
          <w:sz w:val="24"/>
        </w:rPr>
        <w:t>，</w:t>
      </w:r>
      <w:bookmarkStart w:id="20" w:name="_Toc367082515"/>
      <w:bookmarkStart w:id="21" w:name="_Toc294013653"/>
      <w:bookmarkStart w:id="22" w:name="_Toc202872942"/>
      <w:bookmarkStart w:id="23" w:name="_Toc315688531"/>
      <w:r>
        <w:rPr>
          <w:rFonts w:hint="eastAsia" w:ascii="宋体" w:hAnsi="宋体" w:eastAsia="宋体" w:cs="宋体"/>
          <w:bCs/>
          <w:sz w:val="24"/>
        </w:rPr>
        <w:t>相关事宜公告如下：</w:t>
      </w:r>
    </w:p>
    <w:p w14:paraId="6EB6AA90">
      <w:pPr>
        <w:pStyle w:val="6"/>
        <w:pageBreakBefore w:val="0"/>
        <w:widowControl w:val="0"/>
        <w:kinsoku/>
        <w:wordWrap/>
        <w:overflowPunct/>
        <w:topLinePunct w:val="0"/>
        <w:bidi w:val="0"/>
        <w:snapToGrid/>
        <w:spacing w:before="0" w:after="0" w:line="480" w:lineRule="exact"/>
        <w:ind w:left="0"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项目概况</w:t>
      </w:r>
      <w:bookmarkEnd w:id="20"/>
      <w:bookmarkEnd w:id="21"/>
      <w:bookmarkEnd w:id="22"/>
      <w:bookmarkEnd w:id="23"/>
    </w:p>
    <w:p w14:paraId="36CF53A1">
      <w:pPr>
        <w:pageBreakBefore w:val="0"/>
        <w:widowControl w:val="0"/>
        <w:kinsoku/>
        <w:wordWrap/>
        <w:overflowPunct/>
        <w:topLinePunct w:val="0"/>
        <w:bidi w:val="0"/>
        <w:snapToGrid/>
        <w:spacing w:line="480" w:lineRule="exact"/>
        <w:ind w:left="0" w:leftChars="0" w:firstLine="480" w:firstLineChars="200"/>
        <w:rPr>
          <w:rFonts w:hint="eastAsia" w:ascii="宋体" w:hAnsi="宋体" w:eastAsia="宋体" w:cs="宋体"/>
          <w:sz w:val="24"/>
          <w:szCs w:val="24"/>
          <w:lang w:eastAsia="zh-CN"/>
        </w:rPr>
      </w:pPr>
      <w:bookmarkStart w:id="24" w:name="_Toc315688532"/>
      <w:bookmarkStart w:id="25" w:name="_Toc294013654"/>
      <w:bookmarkStart w:id="26" w:name="_Toc202872943"/>
      <w:bookmarkStart w:id="27" w:name="_Toc367082516"/>
      <w:r>
        <w:rPr>
          <w:rFonts w:hint="eastAsia" w:ascii="宋体" w:hAnsi="宋体" w:eastAsia="宋体" w:cs="宋体"/>
          <w:sz w:val="24"/>
          <w:szCs w:val="24"/>
        </w:rPr>
        <w:t>1.1项目名称：</w:t>
      </w:r>
      <w:r>
        <w:rPr>
          <w:rFonts w:hint="eastAsia" w:ascii="宋体" w:hAnsi="宋体" w:eastAsia="宋体" w:cs="宋体"/>
          <w:sz w:val="24"/>
          <w:szCs w:val="24"/>
          <w:lang w:eastAsia="zh-CN"/>
        </w:rPr>
        <w:t>开平市中心医院病案密集架采购项目</w:t>
      </w:r>
    </w:p>
    <w:p w14:paraId="4BDE9EFC">
      <w:pPr>
        <w:pageBreakBefore w:val="0"/>
        <w:widowControl w:val="0"/>
        <w:kinsoku/>
        <w:wordWrap/>
        <w:overflowPunct/>
        <w:topLinePunct w:val="0"/>
        <w:bidi w:val="0"/>
        <w:snapToGrid/>
        <w:spacing w:line="480" w:lineRule="exact"/>
        <w:ind w:left="0" w:leftChars="0" w:firstLine="480" w:firstLineChars="200"/>
        <w:rPr>
          <w:rFonts w:hint="eastAsia" w:ascii="宋体" w:hAnsi="宋体" w:eastAsia="宋体" w:cs="宋体"/>
          <w:bCs/>
          <w:sz w:val="24"/>
          <w:szCs w:val="24"/>
        </w:rPr>
      </w:pPr>
      <w:r>
        <w:rPr>
          <w:rFonts w:hint="eastAsia" w:ascii="宋体" w:hAnsi="宋体" w:eastAsia="宋体" w:cs="宋体"/>
          <w:bCs/>
          <w:sz w:val="24"/>
          <w:szCs w:val="24"/>
        </w:rPr>
        <w:t>1.2项目总预算：</w:t>
      </w:r>
      <w:r>
        <w:rPr>
          <w:rFonts w:hint="eastAsia" w:ascii="宋体" w:hAnsi="宋体" w:eastAsia="宋体" w:cs="宋体"/>
          <w:bCs/>
          <w:sz w:val="24"/>
          <w:szCs w:val="24"/>
          <w:lang w:val="en-US" w:eastAsia="zh-CN"/>
        </w:rPr>
        <w:t>295397</w:t>
      </w:r>
      <w:r>
        <w:rPr>
          <w:rFonts w:hint="eastAsia" w:ascii="宋体" w:hAnsi="宋体" w:eastAsia="宋体" w:cs="宋体"/>
          <w:bCs/>
          <w:sz w:val="24"/>
          <w:szCs w:val="24"/>
        </w:rPr>
        <w:t>元</w:t>
      </w:r>
    </w:p>
    <w:p w14:paraId="137D7C68">
      <w:pPr>
        <w:pageBreakBefore w:val="0"/>
        <w:widowControl w:val="0"/>
        <w:kinsoku/>
        <w:wordWrap/>
        <w:overflowPunct/>
        <w:topLinePunct w:val="0"/>
        <w:bidi w:val="0"/>
        <w:snapToGrid/>
        <w:spacing w:line="480" w:lineRule="exact"/>
        <w:ind w:left="0" w:leftChars="0" w:firstLine="480" w:firstLineChars="200"/>
        <w:rPr>
          <w:rFonts w:hint="eastAsia" w:ascii="宋体" w:hAnsi="宋体" w:eastAsia="宋体" w:cs="宋体"/>
          <w:bCs/>
          <w:sz w:val="24"/>
          <w:szCs w:val="24"/>
        </w:rPr>
      </w:pPr>
      <w:r>
        <w:rPr>
          <w:rFonts w:hint="eastAsia" w:ascii="宋体" w:hAnsi="宋体" w:eastAsia="宋体" w:cs="宋体"/>
          <w:bCs/>
          <w:sz w:val="24"/>
          <w:szCs w:val="24"/>
        </w:rPr>
        <w:t>1.3质量目标：符合国家及行业现行有关规范和标准</w:t>
      </w:r>
    </w:p>
    <w:p w14:paraId="7D8C77DD">
      <w:pPr>
        <w:pageBreakBefore w:val="0"/>
        <w:widowControl w:val="0"/>
        <w:kinsoku/>
        <w:wordWrap/>
        <w:overflowPunct/>
        <w:topLinePunct w:val="0"/>
        <w:bidi w:val="0"/>
        <w:snapToGrid/>
        <w:spacing w:line="480" w:lineRule="exact"/>
        <w:ind w:left="0" w:leftChars="0" w:firstLine="480" w:firstLineChars="200"/>
        <w:rPr>
          <w:rFonts w:hint="eastAsia" w:ascii="宋体" w:hAnsi="宋体" w:eastAsia="宋体" w:cs="宋体"/>
          <w:sz w:val="24"/>
          <w:szCs w:val="24"/>
        </w:rPr>
      </w:pPr>
      <w:r>
        <w:rPr>
          <w:rFonts w:hint="eastAsia" w:ascii="宋体" w:hAnsi="宋体" w:eastAsia="宋体" w:cs="宋体"/>
          <w:bCs/>
          <w:sz w:val="24"/>
          <w:szCs w:val="24"/>
        </w:rPr>
        <w:t>1.4遴选内容：产品技术参数和数量要求</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6335"/>
        <w:gridCol w:w="1068"/>
        <w:gridCol w:w="616"/>
        <w:gridCol w:w="617"/>
      </w:tblGrid>
      <w:tr w14:paraId="7D14F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1" w:type="dxa"/>
            <w:vAlign w:val="center"/>
          </w:tcPr>
          <w:p w14:paraId="0967F167">
            <w:pPr>
              <w:keepNext w:val="0"/>
              <w:keepLines w:val="0"/>
              <w:pageBreakBefore w:val="0"/>
              <w:kinsoku/>
              <w:wordWrap/>
              <w:overflowPunct/>
              <w:topLinePunct w:val="0"/>
              <w:bidi w:val="0"/>
              <w:adjustRightInd/>
              <w:snapToGrid/>
              <w:spacing w:line="520" w:lineRule="exact"/>
              <w:ind w:left="0" w:right="0" w:firstLine="0" w:firstLineChars="0"/>
              <w:jc w:val="center"/>
              <w:textAlignment w:val="auto"/>
              <w:rPr>
                <w:rFonts w:hint="eastAsia" w:ascii="宋体" w:hAnsi="宋体" w:eastAsia="宋体" w:cs="宋体"/>
                <w:sz w:val="24"/>
                <w:szCs w:val="24"/>
              </w:rPr>
            </w:pPr>
            <w:bookmarkStart w:id="28" w:name="OLE_LINK2"/>
            <w:bookmarkStart w:id="29" w:name="OLE_LINK1"/>
            <w:r>
              <w:rPr>
                <w:rFonts w:hint="eastAsia" w:ascii="宋体" w:hAnsi="宋体" w:eastAsia="宋体" w:cs="宋体"/>
                <w:sz w:val="24"/>
                <w:szCs w:val="24"/>
              </w:rPr>
              <w:t>名称</w:t>
            </w:r>
          </w:p>
        </w:tc>
        <w:tc>
          <w:tcPr>
            <w:tcW w:w="6335" w:type="dxa"/>
            <w:vAlign w:val="center"/>
          </w:tcPr>
          <w:p w14:paraId="43F3D232">
            <w:pPr>
              <w:keepNext w:val="0"/>
              <w:keepLines w:val="0"/>
              <w:pageBreakBefore w:val="0"/>
              <w:kinsoku/>
              <w:wordWrap/>
              <w:overflowPunct/>
              <w:topLinePunct w:val="0"/>
              <w:bidi w:val="0"/>
              <w:adjustRightInd/>
              <w:snapToGrid/>
              <w:spacing w:line="52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参数</w:t>
            </w:r>
          </w:p>
        </w:tc>
        <w:tc>
          <w:tcPr>
            <w:tcW w:w="1068" w:type="dxa"/>
            <w:vAlign w:val="center"/>
          </w:tcPr>
          <w:p w14:paraId="570586E8">
            <w:pPr>
              <w:keepNext w:val="0"/>
              <w:keepLines w:val="0"/>
              <w:pageBreakBefore w:val="0"/>
              <w:kinsoku/>
              <w:wordWrap/>
              <w:overflowPunct/>
              <w:topLinePunct w:val="0"/>
              <w:bidi w:val="0"/>
              <w:adjustRightInd/>
              <w:snapToGrid/>
              <w:spacing w:line="52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最高限价（元）</w:t>
            </w:r>
          </w:p>
        </w:tc>
        <w:tc>
          <w:tcPr>
            <w:tcW w:w="616" w:type="dxa"/>
            <w:vAlign w:val="center"/>
          </w:tcPr>
          <w:p w14:paraId="08F712FE">
            <w:pPr>
              <w:keepNext w:val="0"/>
              <w:keepLines w:val="0"/>
              <w:pageBreakBefore w:val="0"/>
              <w:kinsoku/>
              <w:wordWrap/>
              <w:overflowPunct/>
              <w:topLinePunct w:val="0"/>
              <w:bidi w:val="0"/>
              <w:adjustRightInd/>
              <w:snapToGrid/>
              <w:spacing w:line="52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单位</w:t>
            </w:r>
          </w:p>
        </w:tc>
        <w:tc>
          <w:tcPr>
            <w:tcW w:w="617" w:type="dxa"/>
            <w:vAlign w:val="center"/>
          </w:tcPr>
          <w:p w14:paraId="2CD22257">
            <w:pPr>
              <w:keepNext w:val="0"/>
              <w:keepLines w:val="0"/>
              <w:pageBreakBefore w:val="0"/>
              <w:kinsoku/>
              <w:wordWrap/>
              <w:overflowPunct/>
              <w:topLinePunct w:val="0"/>
              <w:bidi w:val="0"/>
              <w:adjustRightInd/>
              <w:snapToGrid/>
              <w:spacing w:line="52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tc>
      </w:tr>
      <w:tr w14:paraId="0E2EC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121" w:type="dxa"/>
            <w:vMerge w:val="restart"/>
            <w:vAlign w:val="center"/>
          </w:tcPr>
          <w:p w14:paraId="19702760">
            <w:pPr>
              <w:keepNext w:val="0"/>
              <w:keepLines w:val="0"/>
              <w:pageBreakBefore w:val="0"/>
              <w:kinsoku/>
              <w:wordWrap/>
              <w:overflowPunct/>
              <w:topLinePunct w:val="0"/>
              <w:bidi w:val="0"/>
              <w:adjustRightInd/>
              <w:snapToGrid/>
              <w:spacing w:line="52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密集架</w:t>
            </w:r>
          </w:p>
        </w:tc>
        <w:tc>
          <w:tcPr>
            <w:tcW w:w="6335" w:type="dxa"/>
          </w:tcPr>
          <w:p w14:paraId="78C697AF">
            <w:pPr>
              <w:pStyle w:val="230"/>
              <w:keepNext w:val="0"/>
              <w:keepLines w:val="0"/>
              <w:pageBreakBefore w:val="0"/>
              <w:kinsoku/>
              <w:wordWrap/>
              <w:overflowPunct/>
              <w:topLinePunct w:val="0"/>
              <w:bidi w:val="0"/>
              <w:adjustRightInd/>
              <w:snapToGrid/>
              <w:spacing w:line="520" w:lineRule="exact"/>
              <w:ind w:left="0" w:right="0" w:firstLine="0" w:firstLineChars="0"/>
              <w:textAlignment w:val="auto"/>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1、</w:t>
            </w:r>
            <w:r>
              <w:rPr>
                <w:rFonts w:hint="eastAsia" w:ascii="宋体" w:hAnsi="宋体" w:eastAsia="宋体" w:cs="宋体"/>
                <w:sz w:val="24"/>
                <w:szCs w:val="24"/>
              </w:rPr>
              <w:t>产品主要由轨道、底盘、立柱、搁板、挂板、侧板、顶板、防倾倒</w:t>
            </w:r>
            <w:r>
              <w:rPr>
                <w:rFonts w:hint="eastAsia" w:ascii="宋体" w:hAnsi="宋体" w:eastAsia="宋体" w:cs="宋体"/>
                <w:sz w:val="24"/>
                <w:szCs w:val="24"/>
                <w:lang w:eastAsia="zh-CN"/>
              </w:rPr>
              <w:t>装置组成</w:t>
            </w:r>
            <w:r>
              <w:rPr>
                <w:rFonts w:hint="eastAsia" w:ascii="宋体" w:hAnsi="宋体" w:eastAsia="宋体" w:cs="宋体"/>
                <w:spacing w:val="-3"/>
                <w:sz w:val="24"/>
                <w:szCs w:val="24"/>
                <w:lang w:eastAsia="zh-CN"/>
              </w:rPr>
              <w:t>。</w:t>
            </w:r>
          </w:p>
        </w:tc>
        <w:tc>
          <w:tcPr>
            <w:tcW w:w="1068" w:type="dxa"/>
            <w:vMerge w:val="restart"/>
            <w:vAlign w:val="center"/>
          </w:tcPr>
          <w:p w14:paraId="72235E33">
            <w:pPr>
              <w:keepNext w:val="0"/>
              <w:keepLines w:val="0"/>
              <w:pageBreakBefore w:val="0"/>
              <w:kinsoku/>
              <w:wordWrap/>
              <w:overflowPunct/>
              <w:topLinePunct w:val="0"/>
              <w:bidi w:val="0"/>
              <w:adjustRightInd/>
              <w:snapToGrid/>
              <w:spacing w:line="52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bCs/>
                <w:sz w:val="24"/>
                <w:szCs w:val="24"/>
              </w:rPr>
              <w:t>295397</w:t>
            </w:r>
          </w:p>
        </w:tc>
        <w:tc>
          <w:tcPr>
            <w:tcW w:w="616" w:type="dxa"/>
            <w:vMerge w:val="restart"/>
            <w:vAlign w:val="center"/>
          </w:tcPr>
          <w:p w14:paraId="4056487F">
            <w:pPr>
              <w:keepNext w:val="0"/>
              <w:keepLines w:val="0"/>
              <w:pageBreakBefore w:val="0"/>
              <w:kinsoku/>
              <w:wordWrap/>
              <w:overflowPunct/>
              <w:topLinePunct w:val="0"/>
              <w:bidi w:val="0"/>
              <w:adjustRightInd/>
              <w:snapToGrid/>
              <w:spacing w:line="52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批</w:t>
            </w:r>
          </w:p>
        </w:tc>
        <w:tc>
          <w:tcPr>
            <w:tcW w:w="617" w:type="dxa"/>
            <w:vMerge w:val="restart"/>
            <w:vAlign w:val="center"/>
          </w:tcPr>
          <w:p w14:paraId="1BBD0653">
            <w:pPr>
              <w:keepNext w:val="0"/>
              <w:keepLines w:val="0"/>
              <w:pageBreakBefore w:val="0"/>
              <w:kinsoku/>
              <w:wordWrap/>
              <w:overflowPunct/>
              <w:topLinePunct w:val="0"/>
              <w:bidi w:val="0"/>
              <w:adjustRightInd/>
              <w:snapToGrid/>
              <w:spacing w:line="52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r>
      <w:tr w14:paraId="3C327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1" w:type="dxa"/>
            <w:vMerge w:val="continue"/>
            <w:vAlign w:val="center"/>
          </w:tcPr>
          <w:p w14:paraId="541BE4C2">
            <w:pPr>
              <w:keepNext w:val="0"/>
              <w:keepLines w:val="0"/>
              <w:pageBreakBefore w:val="0"/>
              <w:kinsoku/>
              <w:wordWrap/>
              <w:overflowPunct/>
              <w:topLinePunct w:val="0"/>
              <w:bidi w:val="0"/>
              <w:adjustRightInd/>
              <w:snapToGrid/>
              <w:spacing w:line="520" w:lineRule="exact"/>
              <w:ind w:left="0" w:right="0" w:firstLine="0" w:firstLineChars="0"/>
              <w:jc w:val="center"/>
              <w:textAlignment w:val="auto"/>
              <w:rPr>
                <w:rFonts w:hint="eastAsia" w:ascii="宋体" w:hAnsi="宋体" w:eastAsia="宋体" w:cs="宋体"/>
                <w:sz w:val="24"/>
                <w:szCs w:val="24"/>
              </w:rPr>
            </w:pPr>
          </w:p>
        </w:tc>
        <w:tc>
          <w:tcPr>
            <w:tcW w:w="6335" w:type="dxa"/>
          </w:tcPr>
          <w:p w14:paraId="06B75FD0">
            <w:pPr>
              <w:pStyle w:val="230"/>
              <w:keepNext w:val="0"/>
              <w:keepLines w:val="0"/>
              <w:pageBreakBefore w:val="0"/>
              <w:kinsoku/>
              <w:wordWrap/>
              <w:overflowPunct/>
              <w:topLinePunct w:val="0"/>
              <w:bidi w:val="0"/>
              <w:adjustRightInd/>
              <w:snapToGrid/>
              <w:spacing w:line="520" w:lineRule="exact"/>
              <w:ind w:left="0" w:right="0" w:firstLine="0" w:firstLineChars="0"/>
              <w:textAlignment w:val="auto"/>
              <w:rPr>
                <w:rFonts w:hint="eastAsia" w:ascii="宋体" w:hAnsi="宋体" w:eastAsia="宋体" w:cs="宋体"/>
                <w:spacing w:val="-1"/>
                <w:sz w:val="24"/>
                <w:szCs w:val="24"/>
                <w:lang w:eastAsia="zh-CN"/>
              </w:rPr>
            </w:pPr>
            <w:r>
              <w:rPr>
                <w:rFonts w:hint="eastAsia" w:ascii="宋体" w:hAnsi="宋体" w:eastAsia="宋体" w:cs="宋体"/>
                <w:sz w:val="24"/>
                <w:szCs w:val="24"/>
              </w:rPr>
              <w:t>★</w:t>
            </w:r>
            <w:r>
              <w:rPr>
                <w:rFonts w:hint="eastAsia" w:ascii="宋体" w:hAnsi="宋体" w:eastAsia="宋体" w:cs="宋体"/>
                <w:spacing w:val="-1"/>
                <w:sz w:val="24"/>
                <w:szCs w:val="24"/>
                <w:lang w:eastAsia="zh-CN"/>
              </w:rPr>
              <w:t>2、架体尺寸：A区五层11列，列节尺寸：宽度4800mm，深度：750mm，高度：1600mm</w:t>
            </w:r>
            <w:r>
              <w:rPr>
                <w:rFonts w:hint="eastAsia" w:ascii="宋体" w:hAnsi="宋体" w:eastAsia="宋体" w:cs="宋体"/>
                <w:spacing w:val="-1"/>
                <w:sz w:val="24"/>
                <w:szCs w:val="24"/>
              </w:rPr>
              <w:t>；</w:t>
            </w:r>
            <w:r>
              <w:rPr>
                <w:rFonts w:hint="eastAsia" w:ascii="宋体" w:hAnsi="宋体" w:eastAsia="宋体" w:cs="宋体"/>
                <w:spacing w:val="-1"/>
                <w:sz w:val="24"/>
                <w:szCs w:val="24"/>
                <w:lang w:eastAsia="zh-CN"/>
              </w:rPr>
              <w:t>B区五层1列，列节尺寸：宽度6300mm，深度：350mm，高度：1600mm；B区五层7列，列节尺寸：宽度6300mm，深度：750mm，高度：1600mm，C区五层1列，列节尺寸：宽度6300mm，深度：350mm，高度：1600mm；C区五层12列，列节尺寸：宽度6300mm，深度：750mm，高度：1600mm。</w:t>
            </w:r>
          </w:p>
        </w:tc>
        <w:tc>
          <w:tcPr>
            <w:tcW w:w="1068" w:type="dxa"/>
            <w:vMerge w:val="continue"/>
            <w:vAlign w:val="center"/>
          </w:tcPr>
          <w:p w14:paraId="550FA29D">
            <w:pPr>
              <w:keepNext w:val="0"/>
              <w:keepLines w:val="0"/>
              <w:pageBreakBefore w:val="0"/>
              <w:kinsoku/>
              <w:wordWrap/>
              <w:overflowPunct/>
              <w:topLinePunct w:val="0"/>
              <w:bidi w:val="0"/>
              <w:adjustRightInd/>
              <w:snapToGrid/>
              <w:spacing w:line="520" w:lineRule="exact"/>
              <w:ind w:left="0" w:right="0" w:firstLine="0" w:firstLineChars="0"/>
              <w:jc w:val="left"/>
              <w:textAlignment w:val="auto"/>
              <w:rPr>
                <w:rFonts w:hint="eastAsia" w:ascii="宋体" w:hAnsi="宋体" w:eastAsia="宋体" w:cs="宋体"/>
                <w:sz w:val="24"/>
                <w:szCs w:val="24"/>
              </w:rPr>
            </w:pPr>
          </w:p>
        </w:tc>
        <w:tc>
          <w:tcPr>
            <w:tcW w:w="616" w:type="dxa"/>
            <w:vMerge w:val="continue"/>
            <w:vAlign w:val="center"/>
          </w:tcPr>
          <w:p w14:paraId="595D0051">
            <w:pPr>
              <w:keepNext w:val="0"/>
              <w:keepLines w:val="0"/>
              <w:pageBreakBefore w:val="0"/>
              <w:kinsoku/>
              <w:wordWrap/>
              <w:overflowPunct/>
              <w:topLinePunct w:val="0"/>
              <w:bidi w:val="0"/>
              <w:adjustRightInd/>
              <w:snapToGrid/>
              <w:spacing w:line="520" w:lineRule="exact"/>
              <w:ind w:left="0" w:right="0" w:firstLine="0" w:firstLineChars="0"/>
              <w:jc w:val="left"/>
              <w:textAlignment w:val="auto"/>
              <w:rPr>
                <w:rFonts w:hint="eastAsia" w:ascii="宋体" w:hAnsi="宋体" w:eastAsia="宋体" w:cs="宋体"/>
                <w:sz w:val="24"/>
                <w:szCs w:val="24"/>
              </w:rPr>
            </w:pPr>
          </w:p>
        </w:tc>
        <w:tc>
          <w:tcPr>
            <w:tcW w:w="617" w:type="dxa"/>
            <w:vMerge w:val="continue"/>
            <w:vAlign w:val="center"/>
          </w:tcPr>
          <w:p w14:paraId="64AAC9C1">
            <w:pPr>
              <w:keepNext w:val="0"/>
              <w:keepLines w:val="0"/>
              <w:pageBreakBefore w:val="0"/>
              <w:kinsoku/>
              <w:wordWrap/>
              <w:overflowPunct/>
              <w:topLinePunct w:val="0"/>
              <w:bidi w:val="0"/>
              <w:adjustRightInd/>
              <w:snapToGrid/>
              <w:spacing w:line="520" w:lineRule="exact"/>
              <w:ind w:left="0" w:right="0" w:firstLine="0" w:firstLineChars="0"/>
              <w:jc w:val="left"/>
              <w:textAlignment w:val="auto"/>
              <w:rPr>
                <w:rFonts w:hint="eastAsia" w:ascii="宋体" w:hAnsi="宋体" w:eastAsia="宋体" w:cs="宋体"/>
                <w:sz w:val="24"/>
                <w:szCs w:val="24"/>
              </w:rPr>
            </w:pPr>
          </w:p>
        </w:tc>
      </w:tr>
      <w:tr w14:paraId="2B75F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1" w:type="dxa"/>
            <w:vMerge w:val="continue"/>
            <w:vAlign w:val="center"/>
          </w:tcPr>
          <w:p w14:paraId="4CBD69CE">
            <w:pPr>
              <w:keepNext w:val="0"/>
              <w:keepLines w:val="0"/>
              <w:pageBreakBefore w:val="0"/>
              <w:kinsoku/>
              <w:wordWrap/>
              <w:overflowPunct/>
              <w:topLinePunct w:val="0"/>
              <w:bidi w:val="0"/>
              <w:adjustRightInd/>
              <w:snapToGrid/>
              <w:spacing w:line="520" w:lineRule="exact"/>
              <w:ind w:left="0" w:right="0" w:firstLine="0" w:firstLineChars="0"/>
              <w:jc w:val="center"/>
              <w:textAlignment w:val="auto"/>
              <w:rPr>
                <w:rFonts w:hint="eastAsia" w:ascii="宋体" w:hAnsi="宋体" w:eastAsia="宋体" w:cs="宋体"/>
                <w:sz w:val="24"/>
                <w:szCs w:val="24"/>
              </w:rPr>
            </w:pPr>
          </w:p>
        </w:tc>
        <w:tc>
          <w:tcPr>
            <w:tcW w:w="6335" w:type="dxa"/>
          </w:tcPr>
          <w:p w14:paraId="0917BA01">
            <w:pPr>
              <w:pStyle w:val="230"/>
              <w:keepNext w:val="0"/>
              <w:keepLines w:val="0"/>
              <w:pageBreakBefore w:val="0"/>
              <w:kinsoku/>
              <w:wordWrap/>
              <w:overflowPunct/>
              <w:topLinePunct w:val="0"/>
              <w:bidi w:val="0"/>
              <w:adjustRightInd/>
              <w:snapToGrid/>
              <w:spacing w:line="520" w:lineRule="exact"/>
              <w:ind w:left="0" w:right="0" w:firstLine="0" w:firstLineChars="0"/>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3、</w:t>
            </w:r>
            <w:r>
              <w:rPr>
                <w:rFonts w:hint="eastAsia" w:ascii="宋体" w:hAnsi="宋体" w:eastAsia="宋体" w:cs="宋体"/>
                <w:sz w:val="24"/>
                <w:szCs w:val="24"/>
              </w:rPr>
              <w:t>轨道：采用</w:t>
            </w:r>
            <w:r>
              <w:rPr>
                <w:rFonts w:hint="eastAsia" w:ascii="宋体" w:hAnsi="宋体" w:eastAsia="宋体" w:cs="宋体"/>
                <w:sz w:val="24"/>
                <w:szCs w:val="24"/>
                <w:lang w:eastAsia="zh-CN"/>
              </w:rPr>
              <w:t>3.0mm优质304不锈钢，</w:t>
            </w:r>
            <w:r>
              <w:rPr>
                <w:rFonts w:hint="eastAsia" w:ascii="宋体" w:hAnsi="宋体" w:eastAsia="宋体" w:cs="宋体"/>
                <w:sz w:val="24"/>
                <w:szCs w:val="24"/>
              </w:rPr>
              <w:t>一次折弯成型</w:t>
            </w:r>
            <w:r>
              <w:rPr>
                <w:rFonts w:hint="eastAsia" w:ascii="宋体" w:hAnsi="宋体" w:eastAsia="宋体" w:cs="宋体"/>
                <w:sz w:val="24"/>
                <w:szCs w:val="24"/>
                <w:lang w:eastAsia="zh-CN"/>
              </w:rPr>
              <w:t>，</w:t>
            </w:r>
            <w:r>
              <w:rPr>
                <w:rFonts w:hint="eastAsia" w:ascii="宋体" w:hAnsi="宋体" w:eastAsia="宋体" w:cs="宋体"/>
                <w:sz w:val="24"/>
                <w:szCs w:val="24"/>
              </w:rPr>
              <w:t>轨芯采用20*20mm实心方钢</w:t>
            </w:r>
            <w:r>
              <w:rPr>
                <w:rFonts w:hint="eastAsia" w:ascii="宋体" w:hAnsi="宋体" w:eastAsia="宋体" w:cs="宋体"/>
                <w:sz w:val="24"/>
                <w:szCs w:val="24"/>
                <w:lang w:eastAsia="zh-CN"/>
              </w:rPr>
              <w:t>（304不锈钢材质）。</w:t>
            </w:r>
          </w:p>
        </w:tc>
        <w:tc>
          <w:tcPr>
            <w:tcW w:w="1068" w:type="dxa"/>
            <w:vMerge w:val="continue"/>
            <w:vAlign w:val="center"/>
          </w:tcPr>
          <w:p w14:paraId="78300EC0">
            <w:pPr>
              <w:keepNext w:val="0"/>
              <w:keepLines w:val="0"/>
              <w:pageBreakBefore w:val="0"/>
              <w:kinsoku/>
              <w:wordWrap/>
              <w:overflowPunct/>
              <w:topLinePunct w:val="0"/>
              <w:bidi w:val="0"/>
              <w:adjustRightInd/>
              <w:snapToGrid/>
              <w:spacing w:line="520" w:lineRule="exact"/>
              <w:ind w:left="0" w:right="0" w:firstLine="0" w:firstLineChars="0"/>
              <w:jc w:val="left"/>
              <w:textAlignment w:val="auto"/>
              <w:rPr>
                <w:rFonts w:hint="eastAsia" w:ascii="宋体" w:hAnsi="宋体" w:eastAsia="宋体" w:cs="宋体"/>
                <w:sz w:val="24"/>
                <w:szCs w:val="24"/>
              </w:rPr>
            </w:pPr>
          </w:p>
        </w:tc>
        <w:tc>
          <w:tcPr>
            <w:tcW w:w="616" w:type="dxa"/>
            <w:vMerge w:val="continue"/>
            <w:vAlign w:val="center"/>
          </w:tcPr>
          <w:p w14:paraId="5BAB042F">
            <w:pPr>
              <w:keepNext w:val="0"/>
              <w:keepLines w:val="0"/>
              <w:pageBreakBefore w:val="0"/>
              <w:kinsoku/>
              <w:wordWrap/>
              <w:overflowPunct/>
              <w:topLinePunct w:val="0"/>
              <w:bidi w:val="0"/>
              <w:adjustRightInd/>
              <w:snapToGrid/>
              <w:spacing w:line="520" w:lineRule="exact"/>
              <w:ind w:left="0" w:right="0" w:firstLine="0" w:firstLineChars="0"/>
              <w:jc w:val="left"/>
              <w:textAlignment w:val="auto"/>
              <w:rPr>
                <w:rFonts w:hint="eastAsia" w:ascii="宋体" w:hAnsi="宋体" w:eastAsia="宋体" w:cs="宋体"/>
                <w:sz w:val="24"/>
                <w:szCs w:val="24"/>
              </w:rPr>
            </w:pPr>
          </w:p>
        </w:tc>
        <w:tc>
          <w:tcPr>
            <w:tcW w:w="617" w:type="dxa"/>
            <w:vMerge w:val="continue"/>
            <w:vAlign w:val="center"/>
          </w:tcPr>
          <w:p w14:paraId="793EE48E">
            <w:pPr>
              <w:keepNext w:val="0"/>
              <w:keepLines w:val="0"/>
              <w:pageBreakBefore w:val="0"/>
              <w:kinsoku/>
              <w:wordWrap/>
              <w:overflowPunct/>
              <w:topLinePunct w:val="0"/>
              <w:bidi w:val="0"/>
              <w:adjustRightInd/>
              <w:snapToGrid/>
              <w:spacing w:line="520" w:lineRule="exact"/>
              <w:ind w:left="0" w:right="0" w:firstLine="0" w:firstLineChars="0"/>
              <w:jc w:val="left"/>
              <w:textAlignment w:val="auto"/>
              <w:rPr>
                <w:rFonts w:hint="eastAsia" w:ascii="宋体" w:hAnsi="宋体" w:eastAsia="宋体" w:cs="宋体"/>
                <w:sz w:val="24"/>
                <w:szCs w:val="24"/>
              </w:rPr>
            </w:pPr>
          </w:p>
        </w:tc>
      </w:tr>
      <w:tr w14:paraId="285A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0" w:hRule="atLeast"/>
          <w:jc w:val="center"/>
        </w:trPr>
        <w:tc>
          <w:tcPr>
            <w:tcW w:w="1121" w:type="dxa"/>
            <w:vMerge w:val="continue"/>
            <w:vAlign w:val="center"/>
          </w:tcPr>
          <w:p w14:paraId="3E809506">
            <w:pPr>
              <w:keepNext w:val="0"/>
              <w:keepLines w:val="0"/>
              <w:pageBreakBefore w:val="0"/>
              <w:kinsoku/>
              <w:wordWrap/>
              <w:overflowPunct/>
              <w:topLinePunct w:val="0"/>
              <w:bidi w:val="0"/>
              <w:adjustRightInd/>
              <w:snapToGrid/>
              <w:spacing w:line="520" w:lineRule="exact"/>
              <w:ind w:left="0" w:right="0" w:firstLine="0" w:firstLineChars="0"/>
              <w:jc w:val="center"/>
              <w:textAlignment w:val="auto"/>
              <w:rPr>
                <w:rFonts w:hint="eastAsia" w:ascii="宋体" w:hAnsi="宋体" w:eastAsia="宋体" w:cs="宋体"/>
                <w:sz w:val="24"/>
                <w:szCs w:val="24"/>
              </w:rPr>
            </w:pPr>
          </w:p>
        </w:tc>
        <w:tc>
          <w:tcPr>
            <w:tcW w:w="6335" w:type="dxa"/>
          </w:tcPr>
          <w:p w14:paraId="2C416FF5">
            <w:pPr>
              <w:pStyle w:val="226"/>
              <w:keepNext w:val="0"/>
              <w:keepLines w:val="0"/>
              <w:pageBreakBefore w:val="0"/>
              <w:kinsoku/>
              <w:wordWrap/>
              <w:overflowPunct/>
              <w:topLinePunct w:val="0"/>
              <w:bidi w:val="0"/>
              <w:adjustRightInd/>
              <w:snapToGrid/>
              <w:spacing w:line="520" w:lineRule="exact"/>
              <w:ind w:left="0" w:right="0" w:firstLine="0" w:firstLineChars="0"/>
              <w:jc w:val="both"/>
              <w:textAlignment w:val="auto"/>
              <w:rPr>
                <w:rFonts w:hint="eastAsia" w:ascii="宋体" w:hAnsi="宋体" w:eastAsia="宋体" w:cs="宋体"/>
                <w:color w:val="000000"/>
                <w:sz w:val="24"/>
                <w:szCs w:val="24"/>
              </w:rPr>
            </w:pPr>
            <w:r>
              <w:rPr>
                <w:rFonts w:hint="eastAsia" w:ascii="宋体" w:hAnsi="宋体" w:eastAsia="宋体" w:cs="宋体"/>
                <w:spacing w:val="-3"/>
                <w:sz w:val="24"/>
                <w:szCs w:val="24"/>
              </w:rPr>
              <w:t>▲4</w:t>
            </w:r>
            <w:r>
              <w:rPr>
                <w:rFonts w:hint="eastAsia" w:ascii="宋体" w:hAnsi="宋体" w:eastAsia="宋体" w:cs="宋体"/>
                <w:spacing w:val="-1"/>
                <w:sz w:val="24"/>
                <w:szCs w:val="24"/>
              </w:rPr>
              <w:t>、</w:t>
            </w:r>
            <w:r>
              <w:rPr>
                <w:rFonts w:hint="eastAsia" w:ascii="宋体" w:hAnsi="宋体" w:eastAsia="宋体" w:cs="宋体"/>
                <w:spacing w:val="-3"/>
                <w:sz w:val="24"/>
                <w:szCs w:val="24"/>
              </w:rPr>
              <w:t>底架：</w:t>
            </w:r>
            <w:r>
              <w:rPr>
                <w:rFonts w:hint="eastAsia" w:ascii="宋体" w:hAnsi="宋体" w:eastAsia="宋体" w:cs="宋体"/>
                <w:color w:val="000000"/>
                <w:sz w:val="24"/>
                <w:szCs w:val="24"/>
              </w:rPr>
              <w:t>采用</w:t>
            </w:r>
            <w:r>
              <w:rPr>
                <w:rFonts w:hint="eastAsia" w:ascii="宋体" w:hAnsi="宋体" w:eastAsia="宋体" w:cs="宋体"/>
                <w:sz w:val="24"/>
                <w:szCs w:val="24"/>
              </w:rPr>
              <w:t>3.0m</w:t>
            </w:r>
            <w:r>
              <w:rPr>
                <w:rFonts w:hint="eastAsia" w:ascii="宋体" w:hAnsi="宋体" w:eastAsia="宋体" w:cs="宋体"/>
                <w:color w:val="000000"/>
                <w:sz w:val="24"/>
                <w:szCs w:val="24"/>
              </w:rPr>
              <w:t>热轧钢板</w:t>
            </w:r>
            <w:r>
              <w:rPr>
                <w:rFonts w:hint="eastAsia" w:ascii="宋体" w:hAnsi="宋体" w:eastAsia="宋体" w:cs="宋体"/>
                <w:sz w:val="24"/>
                <w:szCs w:val="24"/>
              </w:rPr>
              <w:t>，</w:t>
            </w:r>
            <w:r>
              <w:rPr>
                <w:rFonts w:hint="eastAsia" w:ascii="宋体" w:hAnsi="宋体" w:eastAsia="宋体" w:cs="宋体"/>
                <w:color w:val="000000"/>
                <w:sz w:val="24"/>
                <w:szCs w:val="24"/>
              </w:rPr>
              <w:t>折弯成型</w:t>
            </w:r>
            <w:r>
              <w:rPr>
                <w:rFonts w:hint="eastAsia" w:ascii="宋体" w:hAnsi="宋体" w:eastAsia="宋体" w:cs="宋体"/>
                <w:sz w:val="24"/>
                <w:szCs w:val="24"/>
              </w:rPr>
              <w:t>，并采用双折弯工艺加强，</w:t>
            </w:r>
            <w:r>
              <w:rPr>
                <w:rFonts w:hint="eastAsia" w:ascii="宋体" w:hAnsi="宋体" w:eastAsia="宋体" w:cs="宋体"/>
                <w:color w:val="000000"/>
                <w:sz w:val="24"/>
                <w:szCs w:val="24"/>
              </w:rPr>
              <w:t>上面弯边</w:t>
            </w:r>
            <w:r>
              <w:rPr>
                <w:rFonts w:hint="eastAsia" w:ascii="宋体" w:hAnsi="宋体" w:eastAsia="宋体" w:cs="宋体"/>
                <w:sz w:val="24"/>
                <w:szCs w:val="24"/>
              </w:rPr>
              <w:t>大于</w:t>
            </w:r>
            <w:r>
              <w:rPr>
                <w:rFonts w:hint="eastAsia" w:ascii="宋体" w:hAnsi="宋体" w:eastAsia="宋体" w:cs="宋体"/>
                <w:color w:val="000000"/>
                <w:sz w:val="24"/>
                <w:szCs w:val="24"/>
              </w:rPr>
              <w:t>50mm</w:t>
            </w:r>
            <w:r>
              <w:rPr>
                <w:rFonts w:hint="eastAsia" w:ascii="宋体" w:hAnsi="宋体" w:eastAsia="宋体" w:cs="宋体"/>
                <w:sz w:val="24"/>
                <w:szCs w:val="24"/>
              </w:rPr>
              <w:t>，</w:t>
            </w:r>
            <w:r>
              <w:rPr>
                <w:rFonts w:hint="eastAsia" w:ascii="宋体" w:hAnsi="宋体" w:eastAsia="宋体" w:cs="宋体"/>
                <w:color w:val="000000"/>
                <w:sz w:val="24"/>
                <w:szCs w:val="24"/>
              </w:rPr>
              <w:t>架体长期载重存放资料不易变形，底盘与立柱连接采用φ10×20（mm）螺栓，底盘装配后的直线偏差≤0.5mm/m，全长偏差≤</w:t>
            </w:r>
            <w:r>
              <w:rPr>
                <w:rFonts w:hint="eastAsia" w:ascii="宋体" w:hAnsi="宋体" w:eastAsia="宋体" w:cs="宋体"/>
                <w:sz w:val="24"/>
                <w:szCs w:val="24"/>
              </w:rPr>
              <w:t>2</w:t>
            </w:r>
            <w:r>
              <w:rPr>
                <w:rFonts w:hint="eastAsia" w:ascii="宋体" w:hAnsi="宋体" w:eastAsia="宋体" w:cs="宋体"/>
                <w:color w:val="000000"/>
                <w:sz w:val="24"/>
                <w:szCs w:val="24"/>
              </w:rPr>
              <w:t>mm。轴承梁采用3.0mm热轧钢板。四道弯边加强，成型高度、正面厚度≥4 5 ,</w:t>
            </w:r>
            <w:r>
              <w:rPr>
                <w:rFonts w:hint="eastAsia" w:ascii="宋体" w:hAnsi="宋体" w:eastAsia="宋体" w:cs="宋体"/>
                <w:sz w:val="24"/>
                <w:szCs w:val="24"/>
              </w:rPr>
              <w:t xml:space="preserve"> </w:t>
            </w:r>
            <w:r>
              <w:rPr>
                <w:rFonts w:hint="eastAsia" w:ascii="宋体" w:hAnsi="宋体" w:eastAsia="宋体" w:cs="宋体"/>
                <w:color w:val="000000"/>
                <w:sz w:val="24"/>
                <w:szCs w:val="24"/>
              </w:rPr>
              <w:t>增强轴承梁整体强度，增强底梁整体抗扭强度和抗变形能力。</w:t>
            </w:r>
          </w:p>
          <w:p w14:paraId="6C1EEAEE">
            <w:pPr>
              <w:pStyle w:val="226"/>
              <w:keepNext w:val="0"/>
              <w:keepLines w:val="0"/>
              <w:pageBreakBefore w:val="0"/>
              <w:kinsoku/>
              <w:wordWrap/>
              <w:overflowPunct/>
              <w:topLinePunct w:val="0"/>
              <w:bidi w:val="0"/>
              <w:adjustRightInd/>
              <w:snapToGrid/>
              <w:spacing w:line="520" w:lineRule="exact"/>
              <w:ind w:left="0" w:right="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表面涂层理化性能要求：①硬度：≥3H；②冲击高度 500mm，应皱无剥落、裂纹、皱纹；③附着力0级；④耐腐蚀10级。</w:t>
            </w:r>
          </w:p>
        </w:tc>
        <w:tc>
          <w:tcPr>
            <w:tcW w:w="1068" w:type="dxa"/>
            <w:vMerge w:val="continue"/>
            <w:vAlign w:val="center"/>
          </w:tcPr>
          <w:p w14:paraId="4EBB3B6D">
            <w:pPr>
              <w:keepNext w:val="0"/>
              <w:keepLines w:val="0"/>
              <w:pageBreakBefore w:val="0"/>
              <w:kinsoku/>
              <w:wordWrap/>
              <w:overflowPunct/>
              <w:topLinePunct w:val="0"/>
              <w:bidi w:val="0"/>
              <w:adjustRightInd/>
              <w:snapToGrid/>
              <w:spacing w:line="520" w:lineRule="exact"/>
              <w:ind w:left="0" w:right="0" w:firstLine="0" w:firstLineChars="0"/>
              <w:jc w:val="left"/>
              <w:textAlignment w:val="auto"/>
              <w:rPr>
                <w:rFonts w:hint="eastAsia" w:ascii="宋体" w:hAnsi="宋体" w:eastAsia="宋体" w:cs="宋体"/>
                <w:sz w:val="24"/>
                <w:szCs w:val="24"/>
              </w:rPr>
            </w:pPr>
          </w:p>
        </w:tc>
        <w:tc>
          <w:tcPr>
            <w:tcW w:w="616" w:type="dxa"/>
            <w:vMerge w:val="continue"/>
            <w:vAlign w:val="center"/>
          </w:tcPr>
          <w:p w14:paraId="7555E3F2">
            <w:pPr>
              <w:keepNext w:val="0"/>
              <w:keepLines w:val="0"/>
              <w:pageBreakBefore w:val="0"/>
              <w:kinsoku/>
              <w:wordWrap/>
              <w:overflowPunct/>
              <w:topLinePunct w:val="0"/>
              <w:bidi w:val="0"/>
              <w:adjustRightInd/>
              <w:snapToGrid/>
              <w:spacing w:line="520" w:lineRule="exact"/>
              <w:ind w:left="0" w:right="0" w:firstLine="0" w:firstLineChars="0"/>
              <w:jc w:val="left"/>
              <w:textAlignment w:val="auto"/>
              <w:rPr>
                <w:rFonts w:hint="eastAsia" w:ascii="宋体" w:hAnsi="宋体" w:eastAsia="宋体" w:cs="宋体"/>
                <w:sz w:val="24"/>
                <w:szCs w:val="24"/>
              </w:rPr>
            </w:pPr>
          </w:p>
        </w:tc>
        <w:tc>
          <w:tcPr>
            <w:tcW w:w="617" w:type="dxa"/>
            <w:vMerge w:val="continue"/>
            <w:vAlign w:val="center"/>
          </w:tcPr>
          <w:p w14:paraId="2B8B754A">
            <w:pPr>
              <w:keepNext w:val="0"/>
              <w:keepLines w:val="0"/>
              <w:pageBreakBefore w:val="0"/>
              <w:kinsoku/>
              <w:wordWrap/>
              <w:overflowPunct/>
              <w:topLinePunct w:val="0"/>
              <w:bidi w:val="0"/>
              <w:adjustRightInd/>
              <w:snapToGrid/>
              <w:spacing w:line="520" w:lineRule="exact"/>
              <w:ind w:left="0" w:right="0" w:firstLine="0" w:firstLineChars="0"/>
              <w:jc w:val="left"/>
              <w:textAlignment w:val="auto"/>
              <w:rPr>
                <w:rFonts w:hint="eastAsia" w:ascii="宋体" w:hAnsi="宋体" w:eastAsia="宋体" w:cs="宋体"/>
                <w:sz w:val="24"/>
                <w:szCs w:val="24"/>
              </w:rPr>
            </w:pPr>
          </w:p>
        </w:tc>
      </w:tr>
      <w:tr w14:paraId="271CB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1" w:type="dxa"/>
            <w:vMerge w:val="continue"/>
            <w:vAlign w:val="center"/>
          </w:tcPr>
          <w:p w14:paraId="7417A333">
            <w:pPr>
              <w:keepNext w:val="0"/>
              <w:keepLines w:val="0"/>
              <w:pageBreakBefore w:val="0"/>
              <w:kinsoku/>
              <w:wordWrap/>
              <w:overflowPunct/>
              <w:topLinePunct w:val="0"/>
              <w:bidi w:val="0"/>
              <w:adjustRightInd/>
              <w:snapToGrid/>
              <w:spacing w:line="520" w:lineRule="exact"/>
              <w:ind w:left="0" w:right="0" w:firstLine="0" w:firstLineChars="0"/>
              <w:jc w:val="center"/>
              <w:textAlignment w:val="auto"/>
              <w:rPr>
                <w:rFonts w:hint="eastAsia" w:ascii="宋体" w:hAnsi="宋体" w:eastAsia="宋体" w:cs="宋体"/>
                <w:sz w:val="24"/>
                <w:szCs w:val="24"/>
              </w:rPr>
            </w:pPr>
          </w:p>
        </w:tc>
        <w:tc>
          <w:tcPr>
            <w:tcW w:w="6335" w:type="dxa"/>
          </w:tcPr>
          <w:p w14:paraId="20655971">
            <w:pPr>
              <w:pStyle w:val="226"/>
              <w:keepNext w:val="0"/>
              <w:keepLines w:val="0"/>
              <w:pageBreakBefore w:val="0"/>
              <w:kinsoku/>
              <w:wordWrap/>
              <w:overflowPunct/>
              <w:topLinePunct w:val="0"/>
              <w:bidi w:val="0"/>
              <w:adjustRightInd/>
              <w:snapToGrid/>
              <w:spacing w:line="520" w:lineRule="exact"/>
              <w:ind w:left="0" w:right="0" w:firstLine="0" w:firstLineChars="0"/>
              <w:jc w:val="both"/>
              <w:textAlignment w:val="auto"/>
              <w:rPr>
                <w:rFonts w:hint="eastAsia" w:ascii="宋体" w:hAnsi="宋体" w:eastAsia="宋体" w:cs="宋体"/>
                <w:sz w:val="24"/>
                <w:szCs w:val="24"/>
              </w:rPr>
            </w:pPr>
            <w:r>
              <w:rPr>
                <w:rFonts w:hint="eastAsia" w:ascii="宋体" w:hAnsi="宋体" w:eastAsia="宋体" w:cs="宋体"/>
                <w:spacing w:val="-3"/>
                <w:sz w:val="24"/>
                <w:szCs w:val="24"/>
              </w:rPr>
              <w:t>▲5</w:t>
            </w:r>
            <w:r>
              <w:rPr>
                <w:rFonts w:hint="eastAsia" w:ascii="宋体" w:hAnsi="宋体" w:eastAsia="宋体" w:cs="宋体"/>
                <w:spacing w:val="-1"/>
                <w:sz w:val="24"/>
                <w:szCs w:val="24"/>
              </w:rPr>
              <w:t>、立柱采用1.5mm优质冷轧钢板一体成型工艺，立柱成型尺寸50x50mm，正面压制梯形凹槽，梯形凹槽底部尺寸≥23mm，上面尺寸≥3 0mm ,深度≥1.5mm，</w:t>
            </w:r>
            <w:r>
              <w:rPr>
                <w:rFonts w:hint="eastAsia" w:ascii="宋体" w:hAnsi="宋体" w:eastAsia="宋体" w:cs="宋体"/>
                <w:color w:val="000000"/>
                <w:sz w:val="24"/>
                <w:szCs w:val="24"/>
              </w:rPr>
              <w:t>凹槽底面为平面，增强立柱承重能力</w:t>
            </w:r>
            <w:r>
              <w:rPr>
                <w:rFonts w:hint="eastAsia" w:ascii="宋体" w:hAnsi="宋体" w:eastAsia="宋体" w:cs="宋体"/>
                <w:sz w:val="24"/>
                <w:szCs w:val="24"/>
              </w:rPr>
              <w:t>。</w:t>
            </w:r>
          </w:p>
          <w:p w14:paraId="2A7DD42E">
            <w:pPr>
              <w:pStyle w:val="226"/>
              <w:keepNext w:val="0"/>
              <w:keepLines w:val="0"/>
              <w:pageBreakBefore w:val="0"/>
              <w:kinsoku/>
              <w:wordWrap/>
              <w:overflowPunct/>
              <w:topLinePunct w:val="0"/>
              <w:bidi w:val="0"/>
              <w:adjustRightInd/>
              <w:snapToGrid/>
              <w:spacing w:line="520" w:lineRule="exact"/>
              <w:ind w:left="0" w:right="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表面涂层理化性能要求：①硬度：≥3H；②冲击高度 500mm，应皱无剥落、裂纹、皱纹；③附着力0级；④耐腐蚀10级。</w:t>
            </w:r>
          </w:p>
        </w:tc>
        <w:tc>
          <w:tcPr>
            <w:tcW w:w="1068" w:type="dxa"/>
            <w:vMerge w:val="continue"/>
            <w:vAlign w:val="center"/>
          </w:tcPr>
          <w:p w14:paraId="08E15B94">
            <w:pPr>
              <w:keepNext w:val="0"/>
              <w:keepLines w:val="0"/>
              <w:pageBreakBefore w:val="0"/>
              <w:kinsoku/>
              <w:wordWrap/>
              <w:overflowPunct/>
              <w:topLinePunct w:val="0"/>
              <w:bidi w:val="0"/>
              <w:adjustRightInd/>
              <w:snapToGrid/>
              <w:spacing w:line="520" w:lineRule="exact"/>
              <w:ind w:left="0" w:right="0" w:firstLine="0" w:firstLineChars="0"/>
              <w:jc w:val="left"/>
              <w:textAlignment w:val="auto"/>
              <w:rPr>
                <w:rFonts w:hint="eastAsia" w:ascii="宋体" w:hAnsi="宋体" w:eastAsia="宋体" w:cs="宋体"/>
                <w:sz w:val="24"/>
                <w:szCs w:val="24"/>
              </w:rPr>
            </w:pPr>
          </w:p>
        </w:tc>
        <w:tc>
          <w:tcPr>
            <w:tcW w:w="616" w:type="dxa"/>
            <w:vMerge w:val="continue"/>
            <w:vAlign w:val="center"/>
          </w:tcPr>
          <w:p w14:paraId="6D0290FD">
            <w:pPr>
              <w:keepNext w:val="0"/>
              <w:keepLines w:val="0"/>
              <w:pageBreakBefore w:val="0"/>
              <w:kinsoku/>
              <w:wordWrap/>
              <w:overflowPunct/>
              <w:topLinePunct w:val="0"/>
              <w:bidi w:val="0"/>
              <w:adjustRightInd/>
              <w:snapToGrid/>
              <w:spacing w:line="520" w:lineRule="exact"/>
              <w:ind w:left="0" w:right="0" w:firstLine="0" w:firstLineChars="0"/>
              <w:jc w:val="left"/>
              <w:textAlignment w:val="auto"/>
              <w:rPr>
                <w:rFonts w:hint="eastAsia" w:ascii="宋体" w:hAnsi="宋体" w:eastAsia="宋体" w:cs="宋体"/>
                <w:sz w:val="24"/>
                <w:szCs w:val="24"/>
              </w:rPr>
            </w:pPr>
          </w:p>
        </w:tc>
        <w:tc>
          <w:tcPr>
            <w:tcW w:w="617" w:type="dxa"/>
            <w:vMerge w:val="continue"/>
            <w:vAlign w:val="center"/>
          </w:tcPr>
          <w:p w14:paraId="27962A82">
            <w:pPr>
              <w:keepNext w:val="0"/>
              <w:keepLines w:val="0"/>
              <w:pageBreakBefore w:val="0"/>
              <w:kinsoku/>
              <w:wordWrap/>
              <w:overflowPunct/>
              <w:topLinePunct w:val="0"/>
              <w:bidi w:val="0"/>
              <w:adjustRightInd/>
              <w:snapToGrid/>
              <w:spacing w:line="520" w:lineRule="exact"/>
              <w:ind w:left="0" w:right="0" w:firstLine="0" w:firstLineChars="0"/>
              <w:jc w:val="left"/>
              <w:textAlignment w:val="auto"/>
              <w:rPr>
                <w:rFonts w:hint="eastAsia" w:ascii="宋体" w:hAnsi="宋体" w:eastAsia="宋体" w:cs="宋体"/>
                <w:sz w:val="24"/>
                <w:szCs w:val="24"/>
              </w:rPr>
            </w:pPr>
          </w:p>
        </w:tc>
      </w:tr>
      <w:tr w14:paraId="1535D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1121" w:type="dxa"/>
            <w:vMerge w:val="continue"/>
            <w:vAlign w:val="center"/>
          </w:tcPr>
          <w:p w14:paraId="57F98384">
            <w:pPr>
              <w:keepNext w:val="0"/>
              <w:keepLines w:val="0"/>
              <w:pageBreakBefore w:val="0"/>
              <w:kinsoku/>
              <w:wordWrap/>
              <w:overflowPunct/>
              <w:topLinePunct w:val="0"/>
              <w:bidi w:val="0"/>
              <w:adjustRightInd/>
              <w:snapToGrid/>
              <w:spacing w:line="520" w:lineRule="exact"/>
              <w:ind w:left="0" w:right="0" w:firstLine="0" w:firstLineChars="0"/>
              <w:jc w:val="center"/>
              <w:textAlignment w:val="auto"/>
              <w:rPr>
                <w:rFonts w:hint="eastAsia" w:ascii="宋体" w:hAnsi="宋体" w:eastAsia="宋体" w:cs="宋体"/>
                <w:sz w:val="24"/>
                <w:szCs w:val="24"/>
              </w:rPr>
            </w:pPr>
          </w:p>
        </w:tc>
        <w:tc>
          <w:tcPr>
            <w:tcW w:w="6335" w:type="dxa"/>
          </w:tcPr>
          <w:p w14:paraId="0331F0BC">
            <w:pPr>
              <w:pStyle w:val="226"/>
              <w:keepNext w:val="0"/>
              <w:keepLines w:val="0"/>
              <w:pageBreakBefore w:val="0"/>
              <w:kinsoku/>
              <w:wordWrap/>
              <w:overflowPunct/>
              <w:topLinePunct w:val="0"/>
              <w:bidi w:val="0"/>
              <w:adjustRightInd/>
              <w:snapToGrid/>
              <w:spacing w:line="520" w:lineRule="exact"/>
              <w:ind w:left="0" w:right="0" w:firstLine="0" w:firstLineChars="0"/>
              <w:jc w:val="both"/>
              <w:textAlignment w:val="auto"/>
              <w:rPr>
                <w:rFonts w:hint="eastAsia" w:ascii="宋体" w:hAnsi="宋体" w:eastAsia="宋体" w:cs="宋体"/>
                <w:sz w:val="24"/>
                <w:szCs w:val="24"/>
              </w:rPr>
            </w:pPr>
            <w:r>
              <w:rPr>
                <w:rFonts w:hint="eastAsia" w:ascii="宋体" w:hAnsi="宋体" w:eastAsia="宋体" w:cs="宋体"/>
                <w:spacing w:val="-3"/>
                <w:sz w:val="24"/>
                <w:szCs w:val="24"/>
              </w:rPr>
              <w:t>▲</w:t>
            </w:r>
            <w:r>
              <w:rPr>
                <w:rFonts w:hint="eastAsia" w:ascii="宋体" w:hAnsi="宋体" w:eastAsia="宋体" w:cs="宋体"/>
                <w:spacing w:val="-1"/>
                <w:sz w:val="24"/>
                <w:szCs w:val="24"/>
              </w:rPr>
              <w:t>6、</w:t>
            </w:r>
            <w:r>
              <w:rPr>
                <w:rFonts w:hint="eastAsia" w:ascii="宋体" w:hAnsi="宋体" w:eastAsia="宋体" w:cs="宋体"/>
                <w:sz w:val="24"/>
                <w:szCs w:val="24"/>
              </w:rPr>
              <w:t>搁板采用1.0mm冷轧钢板，采用多折弯边一体成型工艺，搁板正面压制两条梯形凹槽，凹槽底部宽度12±2mm，上部宽度18±2mm，两侧面压制平面凹型槽，凹槽宽度13±2mm，</w:t>
            </w:r>
            <w:r>
              <w:rPr>
                <w:rFonts w:hint="eastAsia" w:ascii="宋体" w:hAnsi="宋体" w:eastAsia="宋体" w:cs="宋体"/>
                <w:color w:val="000000"/>
                <w:sz w:val="24"/>
                <w:szCs w:val="24"/>
              </w:rPr>
              <w:t>增加承载能力。在每层搁板上加载80kg均布静载荷，经24h连续试验后检查挂板、搁板、立柱及其结合部位和架体无塑性变形和其他异常现象。</w:t>
            </w:r>
          </w:p>
          <w:p w14:paraId="5532FBAF">
            <w:pPr>
              <w:pStyle w:val="230"/>
              <w:keepNext w:val="0"/>
              <w:keepLines w:val="0"/>
              <w:pageBreakBefore w:val="0"/>
              <w:kinsoku/>
              <w:wordWrap/>
              <w:overflowPunct/>
              <w:topLinePunct w:val="0"/>
              <w:bidi w:val="0"/>
              <w:adjustRightInd/>
              <w:snapToGrid/>
              <w:spacing w:line="520" w:lineRule="exact"/>
              <w:ind w:left="0" w:right="0" w:firstLine="0" w:firstLineChars="0"/>
              <w:textAlignment w:val="auto"/>
              <w:rPr>
                <w:rFonts w:hint="eastAsia" w:ascii="宋体" w:hAnsi="宋体" w:eastAsia="宋体" w:cs="宋体"/>
                <w:sz w:val="24"/>
                <w:szCs w:val="24"/>
                <w:lang w:eastAsia="zh-CN"/>
              </w:rPr>
            </w:pPr>
          </w:p>
        </w:tc>
        <w:tc>
          <w:tcPr>
            <w:tcW w:w="1068" w:type="dxa"/>
            <w:vMerge w:val="continue"/>
            <w:vAlign w:val="center"/>
          </w:tcPr>
          <w:p w14:paraId="45F4D1ED">
            <w:pPr>
              <w:keepNext w:val="0"/>
              <w:keepLines w:val="0"/>
              <w:pageBreakBefore w:val="0"/>
              <w:kinsoku/>
              <w:wordWrap/>
              <w:overflowPunct/>
              <w:topLinePunct w:val="0"/>
              <w:bidi w:val="0"/>
              <w:adjustRightInd/>
              <w:snapToGrid/>
              <w:spacing w:line="520" w:lineRule="exact"/>
              <w:ind w:left="0" w:right="0" w:firstLine="0" w:firstLineChars="0"/>
              <w:jc w:val="left"/>
              <w:textAlignment w:val="auto"/>
              <w:rPr>
                <w:rFonts w:hint="eastAsia" w:ascii="宋体" w:hAnsi="宋体" w:eastAsia="宋体" w:cs="宋体"/>
                <w:sz w:val="24"/>
                <w:szCs w:val="24"/>
              </w:rPr>
            </w:pPr>
          </w:p>
        </w:tc>
        <w:tc>
          <w:tcPr>
            <w:tcW w:w="616" w:type="dxa"/>
            <w:vMerge w:val="continue"/>
            <w:vAlign w:val="center"/>
          </w:tcPr>
          <w:p w14:paraId="39C5B831">
            <w:pPr>
              <w:keepNext w:val="0"/>
              <w:keepLines w:val="0"/>
              <w:pageBreakBefore w:val="0"/>
              <w:kinsoku/>
              <w:wordWrap/>
              <w:overflowPunct/>
              <w:topLinePunct w:val="0"/>
              <w:bidi w:val="0"/>
              <w:adjustRightInd/>
              <w:snapToGrid/>
              <w:spacing w:line="520" w:lineRule="exact"/>
              <w:ind w:left="0" w:right="0" w:firstLine="0" w:firstLineChars="0"/>
              <w:jc w:val="left"/>
              <w:textAlignment w:val="auto"/>
              <w:rPr>
                <w:rFonts w:hint="eastAsia" w:ascii="宋体" w:hAnsi="宋体" w:eastAsia="宋体" w:cs="宋体"/>
                <w:sz w:val="24"/>
                <w:szCs w:val="24"/>
              </w:rPr>
            </w:pPr>
          </w:p>
        </w:tc>
        <w:tc>
          <w:tcPr>
            <w:tcW w:w="617" w:type="dxa"/>
            <w:vMerge w:val="continue"/>
            <w:vAlign w:val="center"/>
          </w:tcPr>
          <w:p w14:paraId="418A67BD">
            <w:pPr>
              <w:keepNext w:val="0"/>
              <w:keepLines w:val="0"/>
              <w:pageBreakBefore w:val="0"/>
              <w:kinsoku/>
              <w:wordWrap/>
              <w:overflowPunct/>
              <w:topLinePunct w:val="0"/>
              <w:bidi w:val="0"/>
              <w:adjustRightInd/>
              <w:snapToGrid/>
              <w:spacing w:line="520" w:lineRule="exact"/>
              <w:ind w:left="0" w:right="0" w:firstLine="0" w:firstLineChars="0"/>
              <w:jc w:val="left"/>
              <w:textAlignment w:val="auto"/>
              <w:rPr>
                <w:rFonts w:hint="eastAsia" w:ascii="宋体" w:hAnsi="宋体" w:eastAsia="宋体" w:cs="宋体"/>
                <w:sz w:val="24"/>
                <w:szCs w:val="24"/>
              </w:rPr>
            </w:pPr>
          </w:p>
        </w:tc>
      </w:tr>
      <w:tr w14:paraId="3463E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1" w:type="dxa"/>
            <w:vMerge w:val="continue"/>
            <w:vAlign w:val="center"/>
          </w:tcPr>
          <w:p w14:paraId="0AE419F8">
            <w:pPr>
              <w:keepNext w:val="0"/>
              <w:keepLines w:val="0"/>
              <w:pageBreakBefore w:val="0"/>
              <w:kinsoku/>
              <w:wordWrap/>
              <w:overflowPunct/>
              <w:topLinePunct w:val="0"/>
              <w:bidi w:val="0"/>
              <w:adjustRightInd/>
              <w:snapToGrid/>
              <w:spacing w:line="520" w:lineRule="exact"/>
              <w:ind w:left="0" w:right="0" w:firstLine="0" w:firstLineChars="0"/>
              <w:jc w:val="center"/>
              <w:textAlignment w:val="auto"/>
              <w:rPr>
                <w:rFonts w:hint="eastAsia" w:ascii="宋体" w:hAnsi="宋体" w:eastAsia="宋体" w:cs="宋体"/>
                <w:sz w:val="24"/>
                <w:szCs w:val="24"/>
              </w:rPr>
            </w:pPr>
          </w:p>
        </w:tc>
        <w:tc>
          <w:tcPr>
            <w:tcW w:w="6335" w:type="dxa"/>
          </w:tcPr>
          <w:p w14:paraId="674774B1">
            <w:pPr>
              <w:pStyle w:val="230"/>
              <w:keepNext w:val="0"/>
              <w:keepLines w:val="0"/>
              <w:pageBreakBefore w:val="0"/>
              <w:kinsoku/>
              <w:wordWrap/>
              <w:overflowPunct/>
              <w:topLinePunct w:val="0"/>
              <w:bidi w:val="0"/>
              <w:adjustRightInd/>
              <w:snapToGrid/>
              <w:spacing w:line="520" w:lineRule="exact"/>
              <w:ind w:left="0" w:right="0" w:firstLine="0" w:firstLineChars="0"/>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7、挂板采用1.0mm冷轧钢板，一体冲压成型，两端四排八挂钩结构设计，孔上下位置设有四根圆筋，挂板与立柱之间连接方式采用八挂钩扣接。</w:t>
            </w:r>
          </w:p>
          <w:p w14:paraId="2180A969">
            <w:pPr>
              <w:pStyle w:val="230"/>
              <w:keepNext w:val="0"/>
              <w:keepLines w:val="0"/>
              <w:pageBreakBefore w:val="0"/>
              <w:kinsoku/>
              <w:wordWrap/>
              <w:overflowPunct/>
              <w:topLinePunct w:val="0"/>
              <w:bidi w:val="0"/>
              <w:adjustRightInd/>
              <w:snapToGrid/>
              <w:spacing w:line="520" w:lineRule="exact"/>
              <w:ind w:left="0" w:righ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表面涂层理化性能要求：①硬度：≥</w:t>
            </w:r>
            <w:r>
              <w:rPr>
                <w:rFonts w:hint="eastAsia" w:ascii="宋体" w:hAnsi="宋体" w:eastAsia="宋体" w:cs="宋体"/>
                <w:sz w:val="24"/>
                <w:szCs w:val="24"/>
                <w:lang w:eastAsia="zh-CN"/>
              </w:rPr>
              <w:t>3</w:t>
            </w:r>
            <w:r>
              <w:rPr>
                <w:rFonts w:hint="eastAsia" w:ascii="宋体" w:hAnsi="宋体" w:eastAsia="宋体" w:cs="宋体"/>
                <w:sz w:val="24"/>
                <w:szCs w:val="24"/>
              </w:rPr>
              <w:t xml:space="preserve">H；②冲击高度 </w:t>
            </w:r>
            <w:r>
              <w:rPr>
                <w:rFonts w:hint="eastAsia" w:ascii="宋体" w:hAnsi="宋体" w:eastAsia="宋体" w:cs="宋体"/>
                <w:sz w:val="24"/>
                <w:szCs w:val="24"/>
                <w:lang w:eastAsia="zh-CN"/>
              </w:rPr>
              <w:t>500mm</w:t>
            </w:r>
            <w:r>
              <w:rPr>
                <w:rFonts w:hint="eastAsia" w:ascii="宋体" w:hAnsi="宋体" w:eastAsia="宋体" w:cs="宋体"/>
                <w:sz w:val="24"/>
                <w:szCs w:val="24"/>
              </w:rPr>
              <w:t>，应皱无剥落、裂纹、皱纹；③附着力</w:t>
            </w:r>
            <w:r>
              <w:rPr>
                <w:rFonts w:hint="eastAsia" w:ascii="宋体" w:hAnsi="宋体" w:eastAsia="宋体" w:cs="宋体"/>
                <w:sz w:val="24"/>
                <w:szCs w:val="24"/>
                <w:lang w:eastAsia="zh-CN"/>
              </w:rPr>
              <w:t>0</w:t>
            </w:r>
            <w:r>
              <w:rPr>
                <w:rFonts w:hint="eastAsia" w:ascii="宋体" w:hAnsi="宋体" w:eastAsia="宋体" w:cs="宋体"/>
                <w:sz w:val="24"/>
                <w:szCs w:val="24"/>
              </w:rPr>
              <w:t>级；④耐腐蚀</w:t>
            </w:r>
            <w:r>
              <w:rPr>
                <w:rFonts w:hint="eastAsia" w:ascii="宋体" w:hAnsi="宋体" w:eastAsia="宋体" w:cs="宋体"/>
                <w:sz w:val="24"/>
                <w:szCs w:val="24"/>
                <w:lang w:eastAsia="zh-CN"/>
              </w:rPr>
              <w:t>10级</w:t>
            </w:r>
            <w:r>
              <w:rPr>
                <w:rFonts w:hint="eastAsia" w:ascii="宋体" w:hAnsi="宋体" w:eastAsia="宋体" w:cs="宋体"/>
                <w:sz w:val="24"/>
                <w:szCs w:val="24"/>
              </w:rPr>
              <w:t>。</w:t>
            </w:r>
          </w:p>
        </w:tc>
        <w:tc>
          <w:tcPr>
            <w:tcW w:w="1068" w:type="dxa"/>
            <w:vMerge w:val="continue"/>
            <w:vAlign w:val="center"/>
          </w:tcPr>
          <w:p w14:paraId="4A6D0E70">
            <w:pPr>
              <w:keepNext w:val="0"/>
              <w:keepLines w:val="0"/>
              <w:pageBreakBefore w:val="0"/>
              <w:kinsoku/>
              <w:wordWrap/>
              <w:overflowPunct/>
              <w:topLinePunct w:val="0"/>
              <w:bidi w:val="0"/>
              <w:adjustRightInd/>
              <w:snapToGrid/>
              <w:spacing w:line="520" w:lineRule="exact"/>
              <w:ind w:left="0" w:right="0" w:firstLine="0" w:firstLineChars="0"/>
              <w:jc w:val="left"/>
              <w:textAlignment w:val="auto"/>
              <w:rPr>
                <w:rFonts w:hint="eastAsia" w:ascii="宋体" w:hAnsi="宋体" w:eastAsia="宋体" w:cs="宋体"/>
                <w:sz w:val="24"/>
                <w:szCs w:val="24"/>
              </w:rPr>
            </w:pPr>
          </w:p>
        </w:tc>
        <w:tc>
          <w:tcPr>
            <w:tcW w:w="616" w:type="dxa"/>
            <w:vMerge w:val="continue"/>
            <w:vAlign w:val="center"/>
          </w:tcPr>
          <w:p w14:paraId="5585356E">
            <w:pPr>
              <w:keepNext w:val="0"/>
              <w:keepLines w:val="0"/>
              <w:pageBreakBefore w:val="0"/>
              <w:kinsoku/>
              <w:wordWrap/>
              <w:overflowPunct/>
              <w:topLinePunct w:val="0"/>
              <w:bidi w:val="0"/>
              <w:adjustRightInd/>
              <w:snapToGrid/>
              <w:spacing w:line="520" w:lineRule="exact"/>
              <w:ind w:left="0" w:right="0" w:firstLine="0" w:firstLineChars="0"/>
              <w:jc w:val="left"/>
              <w:textAlignment w:val="auto"/>
              <w:rPr>
                <w:rFonts w:hint="eastAsia" w:ascii="宋体" w:hAnsi="宋体" w:eastAsia="宋体" w:cs="宋体"/>
                <w:sz w:val="24"/>
                <w:szCs w:val="24"/>
              </w:rPr>
            </w:pPr>
          </w:p>
        </w:tc>
        <w:tc>
          <w:tcPr>
            <w:tcW w:w="617" w:type="dxa"/>
            <w:vMerge w:val="continue"/>
            <w:vAlign w:val="center"/>
          </w:tcPr>
          <w:p w14:paraId="0046CFC9">
            <w:pPr>
              <w:keepNext w:val="0"/>
              <w:keepLines w:val="0"/>
              <w:pageBreakBefore w:val="0"/>
              <w:kinsoku/>
              <w:wordWrap/>
              <w:overflowPunct/>
              <w:topLinePunct w:val="0"/>
              <w:bidi w:val="0"/>
              <w:adjustRightInd/>
              <w:snapToGrid/>
              <w:spacing w:line="520" w:lineRule="exact"/>
              <w:ind w:left="0" w:right="0" w:firstLine="0" w:firstLineChars="0"/>
              <w:jc w:val="left"/>
              <w:textAlignment w:val="auto"/>
              <w:rPr>
                <w:rFonts w:hint="eastAsia" w:ascii="宋体" w:hAnsi="宋体" w:eastAsia="宋体" w:cs="宋体"/>
                <w:sz w:val="24"/>
                <w:szCs w:val="24"/>
              </w:rPr>
            </w:pPr>
          </w:p>
        </w:tc>
      </w:tr>
      <w:tr w14:paraId="728C7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1" w:type="dxa"/>
            <w:vMerge w:val="continue"/>
            <w:vAlign w:val="center"/>
          </w:tcPr>
          <w:p w14:paraId="262527EE">
            <w:pPr>
              <w:keepNext w:val="0"/>
              <w:keepLines w:val="0"/>
              <w:pageBreakBefore w:val="0"/>
              <w:kinsoku/>
              <w:wordWrap/>
              <w:overflowPunct/>
              <w:topLinePunct w:val="0"/>
              <w:bidi w:val="0"/>
              <w:adjustRightInd/>
              <w:snapToGrid/>
              <w:spacing w:line="520" w:lineRule="exact"/>
              <w:ind w:left="0" w:right="0" w:firstLine="0" w:firstLineChars="0"/>
              <w:jc w:val="center"/>
              <w:textAlignment w:val="auto"/>
              <w:rPr>
                <w:rFonts w:hint="eastAsia" w:ascii="宋体" w:hAnsi="宋体" w:eastAsia="宋体" w:cs="宋体"/>
                <w:sz w:val="24"/>
                <w:szCs w:val="24"/>
              </w:rPr>
            </w:pPr>
          </w:p>
        </w:tc>
        <w:tc>
          <w:tcPr>
            <w:tcW w:w="6335" w:type="dxa"/>
          </w:tcPr>
          <w:p w14:paraId="646D3D31">
            <w:pPr>
              <w:pStyle w:val="230"/>
              <w:keepNext w:val="0"/>
              <w:keepLines w:val="0"/>
              <w:pageBreakBefore w:val="0"/>
              <w:kinsoku/>
              <w:wordWrap/>
              <w:overflowPunct/>
              <w:topLinePunct w:val="0"/>
              <w:bidi w:val="0"/>
              <w:adjustRightInd/>
              <w:snapToGrid/>
              <w:spacing w:line="520" w:lineRule="exact"/>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2"/>
                <w:sz w:val="24"/>
                <w:szCs w:val="24"/>
                <w:lang w:eastAsia="zh-CN"/>
              </w:rPr>
              <w:t>8</w:t>
            </w:r>
            <w:r>
              <w:rPr>
                <w:rFonts w:hint="eastAsia" w:ascii="宋体" w:hAnsi="宋体" w:eastAsia="宋体" w:cs="宋体"/>
                <w:spacing w:val="-1"/>
                <w:sz w:val="24"/>
                <w:szCs w:val="24"/>
                <w:lang w:eastAsia="zh-CN"/>
              </w:rPr>
              <w:t>、挡棒采用1.0mm的优质冷轧钢板压制成槽型，成型尺寸为15mm＊15mm，四道弯边设计，三面压筋，顶面与侧面圆角过渡，圆角半径为R4，自锁式档条，依靠档条和挂板之间的机械组合达到锁紧功能。</w:t>
            </w:r>
          </w:p>
        </w:tc>
        <w:tc>
          <w:tcPr>
            <w:tcW w:w="1068" w:type="dxa"/>
            <w:vMerge w:val="continue"/>
            <w:vAlign w:val="center"/>
          </w:tcPr>
          <w:p w14:paraId="6930289D">
            <w:pPr>
              <w:keepNext w:val="0"/>
              <w:keepLines w:val="0"/>
              <w:pageBreakBefore w:val="0"/>
              <w:kinsoku/>
              <w:wordWrap/>
              <w:overflowPunct/>
              <w:topLinePunct w:val="0"/>
              <w:bidi w:val="0"/>
              <w:adjustRightInd/>
              <w:snapToGrid/>
              <w:spacing w:line="520" w:lineRule="exact"/>
              <w:ind w:left="0" w:right="0" w:firstLine="0" w:firstLineChars="0"/>
              <w:jc w:val="left"/>
              <w:textAlignment w:val="auto"/>
              <w:rPr>
                <w:rFonts w:hint="eastAsia" w:ascii="宋体" w:hAnsi="宋体" w:eastAsia="宋体" w:cs="宋体"/>
                <w:sz w:val="24"/>
                <w:szCs w:val="24"/>
              </w:rPr>
            </w:pPr>
          </w:p>
        </w:tc>
        <w:tc>
          <w:tcPr>
            <w:tcW w:w="616" w:type="dxa"/>
            <w:vMerge w:val="continue"/>
            <w:vAlign w:val="center"/>
          </w:tcPr>
          <w:p w14:paraId="53B3DE7A">
            <w:pPr>
              <w:keepNext w:val="0"/>
              <w:keepLines w:val="0"/>
              <w:pageBreakBefore w:val="0"/>
              <w:kinsoku/>
              <w:wordWrap/>
              <w:overflowPunct/>
              <w:topLinePunct w:val="0"/>
              <w:bidi w:val="0"/>
              <w:adjustRightInd/>
              <w:snapToGrid/>
              <w:spacing w:line="520" w:lineRule="exact"/>
              <w:ind w:left="0" w:right="0" w:firstLine="0" w:firstLineChars="0"/>
              <w:jc w:val="left"/>
              <w:textAlignment w:val="auto"/>
              <w:rPr>
                <w:rFonts w:hint="eastAsia" w:ascii="宋体" w:hAnsi="宋体" w:eastAsia="宋体" w:cs="宋体"/>
                <w:sz w:val="24"/>
                <w:szCs w:val="24"/>
              </w:rPr>
            </w:pPr>
          </w:p>
        </w:tc>
        <w:tc>
          <w:tcPr>
            <w:tcW w:w="617" w:type="dxa"/>
            <w:vMerge w:val="continue"/>
            <w:vAlign w:val="center"/>
          </w:tcPr>
          <w:p w14:paraId="000EDEC1">
            <w:pPr>
              <w:keepNext w:val="0"/>
              <w:keepLines w:val="0"/>
              <w:pageBreakBefore w:val="0"/>
              <w:kinsoku/>
              <w:wordWrap/>
              <w:overflowPunct/>
              <w:topLinePunct w:val="0"/>
              <w:bidi w:val="0"/>
              <w:adjustRightInd/>
              <w:snapToGrid/>
              <w:spacing w:line="520" w:lineRule="exact"/>
              <w:ind w:left="0" w:right="0" w:firstLine="0" w:firstLineChars="0"/>
              <w:jc w:val="left"/>
              <w:textAlignment w:val="auto"/>
              <w:rPr>
                <w:rFonts w:hint="eastAsia" w:ascii="宋体" w:hAnsi="宋体" w:eastAsia="宋体" w:cs="宋体"/>
                <w:sz w:val="24"/>
                <w:szCs w:val="24"/>
              </w:rPr>
            </w:pPr>
          </w:p>
        </w:tc>
      </w:tr>
      <w:tr w14:paraId="6C4A7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1" w:type="dxa"/>
            <w:vMerge w:val="continue"/>
            <w:vAlign w:val="center"/>
          </w:tcPr>
          <w:p w14:paraId="012903A4">
            <w:pPr>
              <w:keepNext w:val="0"/>
              <w:keepLines w:val="0"/>
              <w:pageBreakBefore w:val="0"/>
              <w:kinsoku/>
              <w:wordWrap/>
              <w:overflowPunct/>
              <w:topLinePunct w:val="0"/>
              <w:bidi w:val="0"/>
              <w:adjustRightInd/>
              <w:snapToGrid/>
              <w:spacing w:line="520" w:lineRule="exact"/>
              <w:ind w:left="0" w:right="0" w:firstLine="0" w:firstLineChars="0"/>
              <w:jc w:val="center"/>
              <w:textAlignment w:val="auto"/>
              <w:rPr>
                <w:rFonts w:hint="eastAsia" w:ascii="宋体" w:hAnsi="宋体" w:eastAsia="宋体" w:cs="宋体"/>
                <w:sz w:val="24"/>
                <w:szCs w:val="24"/>
              </w:rPr>
            </w:pPr>
          </w:p>
        </w:tc>
        <w:tc>
          <w:tcPr>
            <w:tcW w:w="6335" w:type="dxa"/>
          </w:tcPr>
          <w:p w14:paraId="63204369">
            <w:pPr>
              <w:pStyle w:val="230"/>
              <w:keepNext w:val="0"/>
              <w:keepLines w:val="0"/>
              <w:pageBreakBefore w:val="0"/>
              <w:kinsoku/>
              <w:wordWrap/>
              <w:overflowPunct/>
              <w:topLinePunct w:val="0"/>
              <w:bidi w:val="0"/>
              <w:adjustRightInd/>
              <w:snapToGrid/>
              <w:spacing w:line="520" w:lineRule="exact"/>
              <w:ind w:left="0" w:right="0" w:firstLine="0" w:firstLineChars="0"/>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9、侧板采用1.0mm冷轧钢板，分为上、中、下三节，整体设计新颖，造型美观。</w:t>
            </w:r>
          </w:p>
          <w:p w14:paraId="78B451B7">
            <w:pPr>
              <w:pStyle w:val="230"/>
              <w:keepNext w:val="0"/>
              <w:keepLines w:val="0"/>
              <w:pageBreakBefore w:val="0"/>
              <w:kinsoku/>
              <w:wordWrap/>
              <w:overflowPunct/>
              <w:topLinePunct w:val="0"/>
              <w:bidi w:val="0"/>
              <w:adjustRightInd/>
              <w:snapToGrid/>
              <w:spacing w:line="520" w:lineRule="exact"/>
              <w:ind w:left="0" w:righ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表面涂层理化性能要求：①硬度：≥</w:t>
            </w:r>
            <w:r>
              <w:rPr>
                <w:rFonts w:hint="eastAsia" w:ascii="宋体" w:hAnsi="宋体" w:eastAsia="宋体" w:cs="宋体"/>
                <w:sz w:val="24"/>
                <w:szCs w:val="24"/>
                <w:lang w:eastAsia="zh-CN"/>
              </w:rPr>
              <w:t>3</w:t>
            </w:r>
            <w:r>
              <w:rPr>
                <w:rFonts w:hint="eastAsia" w:ascii="宋体" w:hAnsi="宋体" w:eastAsia="宋体" w:cs="宋体"/>
                <w:sz w:val="24"/>
                <w:szCs w:val="24"/>
              </w:rPr>
              <w:t xml:space="preserve">H；②冲击高度 </w:t>
            </w:r>
            <w:r>
              <w:rPr>
                <w:rFonts w:hint="eastAsia" w:ascii="宋体" w:hAnsi="宋体" w:eastAsia="宋体" w:cs="宋体"/>
                <w:sz w:val="24"/>
                <w:szCs w:val="24"/>
                <w:lang w:eastAsia="zh-CN"/>
              </w:rPr>
              <w:t>500mm</w:t>
            </w:r>
            <w:r>
              <w:rPr>
                <w:rFonts w:hint="eastAsia" w:ascii="宋体" w:hAnsi="宋体" w:eastAsia="宋体" w:cs="宋体"/>
                <w:sz w:val="24"/>
                <w:szCs w:val="24"/>
              </w:rPr>
              <w:t>，应皱无剥落、裂纹、皱纹；③附着力</w:t>
            </w:r>
            <w:r>
              <w:rPr>
                <w:rFonts w:hint="eastAsia" w:ascii="宋体" w:hAnsi="宋体" w:eastAsia="宋体" w:cs="宋体"/>
                <w:sz w:val="24"/>
                <w:szCs w:val="24"/>
                <w:lang w:eastAsia="zh-CN"/>
              </w:rPr>
              <w:t>0</w:t>
            </w:r>
            <w:r>
              <w:rPr>
                <w:rFonts w:hint="eastAsia" w:ascii="宋体" w:hAnsi="宋体" w:eastAsia="宋体" w:cs="宋体"/>
                <w:sz w:val="24"/>
                <w:szCs w:val="24"/>
              </w:rPr>
              <w:t>级；④耐腐蚀</w:t>
            </w:r>
            <w:r>
              <w:rPr>
                <w:rFonts w:hint="eastAsia" w:ascii="宋体" w:hAnsi="宋体" w:eastAsia="宋体" w:cs="宋体"/>
                <w:sz w:val="24"/>
                <w:szCs w:val="24"/>
                <w:lang w:eastAsia="zh-CN"/>
              </w:rPr>
              <w:t>10级</w:t>
            </w:r>
            <w:r>
              <w:rPr>
                <w:rFonts w:hint="eastAsia" w:ascii="宋体" w:hAnsi="宋体" w:eastAsia="宋体" w:cs="宋体"/>
                <w:sz w:val="24"/>
                <w:szCs w:val="24"/>
              </w:rPr>
              <w:t>。</w:t>
            </w:r>
          </w:p>
        </w:tc>
        <w:tc>
          <w:tcPr>
            <w:tcW w:w="1068" w:type="dxa"/>
            <w:vMerge w:val="continue"/>
            <w:vAlign w:val="center"/>
          </w:tcPr>
          <w:p w14:paraId="4EC4BBED">
            <w:pPr>
              <w:keepNext w:val="0"/>
              <w:keepLines w:val="0"/>
              <w:pageBreakBefore w:val="0"/>
              <w:kinsoku/>
              <w:wordWrap/>
              <w:overflowPunct/>
              <w:topLinePunct w:val="0"/>
              <w:bidi w:val="0"/>
              <w:adjustRightInd/>
              <w:snapToGrid/>
              <w:spacing w:line="520" w:lineRule="exact"/>
              <w:ind w:left="0" w:right="0" w:firstLine="0" w:firstLineChars="0"/>
              <w:jc w:val="left"/>
              <w:textAlignment w:val="auto"/>
              <w:rPr>
                <w:rFonts w:hint="eastAsia" w:ascii="宋体" w:hAnsi="宋体" w:eastAsia="宋体" w:cs="宋体"/>
                <w:sz w:val="24"/>
                <w:szCs w:val="24"/>
              </w:rPr>
            </w:pPr>
          </w:p>
        </w:tc>
        <w:tc>
          <w:tcPr>
            <w:tcW w:w="616" w:type="dxa"/>
            <w:vMerge w:val="continue"/>
            <w:vAlign w:val="center"/>
          </w:tcPr>
          <w:p w14:paraId="18306030">
            <w:pPr>
              <w:keepNext w:val="0"/>
              <w:keepLines w:val="0"/>
              <w:pageBreakBefore w:val="0"/>
              <w:kinsoku/>
              <w:wordWrap/>
              <w:overflowPunct/>
              <w:topLinePunct w:val="0"/>
              <w:bidi w:val="0"/>
              <w:adjustRightInd/>
              <w:snapToGrid/>
              <w:spacing w:line="520" w:lineRule="exact"/>
              <w:ind w:left="0" w:right="0" w:firstLine="0" w:firstLineChars="0"/>
              <w:jc w:val="left"/>
              <w:textAlignment w:val="auto"/>
              <w:rPr>
                <w:rFonts w:hint="eastAsia" w:ascii="宋体" w:hAnsi="宋体" w:eastAsia="宋体" w:cs="宋体"/>
                <w:sz w:val="24"/>
                <w:szCs w:val="24"/>
              </w:rPr>
            </w:pPr>
          </w:p>
        </w:tc>
        <w:tc>
          <w:tcPr>
            <w:tcW w:w="617" w:type="dxa"/>
            <w:vMerge w:val="continue"/>
            <w:vAlign w:val="center"/>
          </w:tcPr>
          <w:p w14:paraId="39CF0EC3">
            <w:pPr>
              <w:keepNext w:val="0"/>
              <w:keepLines w:val="0"/>
              <w:pageBreakBefore w:val="0"/>
              <w:kinsoku/>
              <w:wordWrap/>
              <w:overflowPunct/>
              <w:topLinePunct w:val="0"/>
              <w:bidi w:val="0"/>
              <w:adjustRightInd/>
              <w:snapToGrid/>
              <w:spacing w:line="520" w:lineRule="exact"/>
              <w:ind w:left="0" w:right="0" w:firstLine="0" w:firstLineChars="0"/>
              <w:jc w:val="left"/>
              <w:textAlignment w:val="auto"/>
              <w:rPr>
                <w:rFonts w:hint="eastAsia" w:ascii="宋体" w:hAnsi="宋体" w:eastAsia="宋体" w:cs="宋体"/>
                <w:sz w:val="24"/>
                <w:szCs w:val="24"/>
              </w:rPr>
            </w:pPr>
          </w:p>
        </w:tc>
      </w:tr>
      <w:tr w14:paraId="50E92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1" w:type="dxa"/>
            <w:vMerge w:val="continue"/>
            <w:vAlign w:val="center"/>
          </w:tcPr>
          <w:p w14:paraId="0C0AE0CF">
            <w:pPr>
              <w:keepNext w:val="0"/>
              <w:keepLines w:val="0"/>
              <w:pageBreakBefore w:val="0"/>
              <w:kinsoku/>
              <w:wordWrap/>
              <w:overflowPunct/>
              <w:topLinePunct w:val="0"/>
              <w:bidi w:val="0"/>
              <w:adjustRightInd/>
              <w:snapToGrid/>
              <w:spacing w:line="520" w:lineRule="exact"/>
              <w:ind w:left="0" w:right="0" w:firstLine="0" w:firstLineChars="0"/>
              <w:jc w:val="center"/>
              <w:textAlignment w:val="auto"/>
              <w:rPr>
                <w:rFonts w:hint="eastAsia" w:ascii="宋体" w:hAnsi="宋体" w:eastAsia="宋体" w:cs="宋体"/>
                <w:sz w:val="24"/>
                <w:szCs w:val="24"/>
              </w:rPr>
            </w:pPr>
          </w:p>
        </w:tc>
        <w:tc>
          <w:tcPr>
            <w:tcW w:w="6335" w:type="dxa"/>
          </w:tcPr>
          <w:p w14:paraId="074668C1">
            <w:pPr>
              <w:pStyle w:val="230"/>
              <w:keepNext w:val="0"/>
              <w:keepLines w:val="0"/>
              <w:pageBreakBefore w:val="0"/>
              <w:kinsoku/>
              <w:wordWrap/>
              <w:overflowPunct/>
              <w:topLinePunct w:val="0"/>
              <w:bidi w:val="0"/>
              <w:adjustRightInd/>
              <w:snapToGrid/>
              <w:spacing w:line="520" w:lineRule="exact"/>
              <w:ind w:left="0" w:right="0" w:firstLine="0" w:firstLineChars="0"/>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10、门板采用1.0mm冷轧钢板，采用正方形三级管理锁，外形尺寸为90mm＊90mm，安装完成后锁具表面与门板齐平。</w:t>
            </w:r>
          </w:p>
          <w:p w14:paraId="3A8C7792">
            <w:pPr>
              <w:pStyle w:val="230"/>
              <w:keepNext w:val="0"/>
              <w:keepLines w:val="0"/>
              <w:pageBreakBefore w:val="0"/>
              <w:kinsoku/>
              <w:wordWrap/>
              <w:overflowPunct/>
              <w:topLinePunct w:val="0"/>
              <w:bidi w:val="0"/>
              <w:adjustRightInd/>
              <w:snapToGrid/>
              <w:spacing w:line="520" w:lineRule="exact"/>
              <w:ind w:left="0" w:right="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表面涂层理化性能要求：①硬度：≥</w:t>
            </w:r>
            <w:r>
              <w:rPr>
                <w:rFonts w:hint="eastAsia" w:ascii="宋体" w:hAnsi="宋体" w:eastAsia="宋体" w:cs="宋体"/>
                <w:sz w:val="24"/>
                <w:szCs w:val="24"/>
                <w:lang w:eastAsia="zh-CN"/>
              </w:rPr>
              <w:t>3</w:t>
            </w:r>
            <w:r>
              <w:rPr>
                <w:rFonts w:hint="eastAsia" w:ascii="宋体" w:hAnsi="宋体" w:eastAsia="宋体" w:cs="宋体"/>
                <w:sz w:val="24"/>
                <w:szCs w:val="24"/>
              </w:rPr>
              <w:t xml:space="preserve">H；②冲击高度 </w:t>
            </w:r>
            <w:r>
              <w:rPr>
                <w:rFonts w:hint="eastAsia" w:ascii="宋体" w:hAnsi="宋体" w:eastAsia="宋体" w:cs="宋体"/>
                <w:sz w:val="24"/>
                <w:szCs w:val="24"/>
                <w:lang w:eastAsia="zh-CN"/>
              </w:rPr>
              <w:t>500mm</w:t>
            </w:r>
            <w:r>
              <w:rPr>
                <w:rFonts w:hint="eastAsia" w:ascii="宋体" w:hAnsi="宋体" w:eastAsia="宋体" w:cs="宋体"/>
                <w:sz w:val="24"/>
                <w:szCs w:val="24"/>
              </w:rPr>
              <w:t>，应皱无剥落、裂纹、皱纹；③附着力</w:t>
            </w:r>
            <w:r>
              <w:rPr>
                <w:rFonts w:hint="eastAsia" w:ascii="宋体" w:hAnsi="宋体" w:eastAsia="宋体" w:cs="宋体"/>
                <w:sz w:val="24"/>
                <w:szCs w:val="24"/>
                <w:lang w:eastAsia="zh-CN"/>
              </w:rPr>
              <w:t>0</w:t>
            </w:r>
            <w:r>
              <w:rPr>
                <w:rFonts w:hint="eastAsia" w:ascii="宋体" w:hAnsi="宋体" w:eastAsia="宋体" w:cs="宋体"/>
                <w:sz w:val="24"/>
                <w:szCs w:val="24"/>
              </w:rPr>
              <w:t>级；④耐腐蚀</w:t>
            </w:r>
            <w:r>
              <w:rPr>
                <w:rFonts w:hint="eastAsia" w:ascii="宋体" w:hAnsi="宋体" w:eastAsia="宋体" w:cs="宋体"/>
                <w:sz w:val="24"/>
                <w:szCs w:val="24"/>
                <w:lang w:eastAsia="zh-CN"/>
              </w:rPr>
              <w:t>10级</w:t>
            </w:r>
            <w:r>
              <w:rPr>
                <w:rFonts w:hint="eastAsia" w:ascii="宋体" w:hAnsi="宋体" w:eastAsia="宋体" w:cs="宋体"/>
                <w:sz w:val="24"/>
                <w:szCs w:val="24"/>
              </w:rPr>
              <w:t>。</w:t>
            </w:r>
          </w:p>
        </w:tc>
        <w:tc>
          <w:tcPr>
            <w:tcW w:w="1068" w:type="dxa"/>
            <w:vMerge w:val="continue"/>
            <w:vAlign w:val="center"/>
          </w:tcPr>
          <w:p w14:paraId="33AAD281">
            <w:pPr>
              <w:keepNext w:val="0"/>
              <w:keepLines w:val="0"/>
              <w:pageBreakBefore w:val="0"/>
              <w:kinsoku/>
              <w:wordWrap/>
              <w:overflowPunct/>
              <w:topLinePunct w:val="0"/>
              <w:bidi w:val="0"/>
              <w:adjustRightInd/>
              <w:snapToGrid/>
              <w:spacing w:line="520" w:lineRule="exact"/>
              <w:ind w:left="0" w:right="0" w:firstLine="0" w:firstLineChars="0"/>
              <w:jc w:val="left"/>
              <w:textAlignment w:val="auto"/>
              <w:rPr>
                <w:rFonts w:hint="eastAsia" w:ascii="宋体" w:hAnsi="宋体" w:eastAsia="宋体" w:cs="宋体"/>
                <w:sz w:val="24"/>
                <w:szCs w:val="24"/>
              </w:rPr>
            </w:pPr>
          </w:p>
        </w:tc>
        <w:tc>
          <w:tcPr>
            <w:tcW w:w="616" w:type="dxa"/>
            <w:vMerge w:val="continue"/>
            <w:vAlign w:val="center"/>
          </w:tcPr>
          <w:p w14:paraId="7677C143">
            <w:pPr>
              <w:keepNext w:val="0"/>
              <w:keepLines w:val="0"/>
              <w:pageBreakBefore w:val="0"/>
              <w:kinsoku/>
              <w:wordWrap/>
              <w:overflowPunct/>
              <w:topLinePunct w:val="0"/>
              <w:bidi w:val="0"/>
              <w:adjustRightInd/>
              <w:snapToGrid/>
              <w:spacing w:line="520" w:lineRule="exact"/>
              <w:ind w:left="0" w:right="0" w:firstLine="0" w:firstLineChars="0"/>
              <w:jc w:val="left"/>
              <w:textAlignment w:val="auto"/>
              <w:rPr>
                <w:rFonts w:hint="eastAsia" w:ascii="宋体" w:hAnsi="宋体" w:eastAsia="宋体" w:cs="宋体"/>
                <w:sz w:val="24"/>
                <w:szCs w:val="24"/>
              </w:rPr>
            </w:pPr>
          </w:p>
        </w:tc>
        <w:tc>
          <w:tcPr>
            <w:tcW w:w="617" w:type="dxa"/>
            <w:vMerge w:val="continue"/>
            <w:vAlign w:val="center"/>
          </w:tcPr>
          <w:p w14:paraId="4EB52ADF">
            <w:pPr>
              <w:keepNext w:val="0"/>
              <w:keepLines w:val="0"/>
              <w:pageBreakBefore w:val="0"/>
              <w:kinsoku/>
              <w:wordWrap/>
              <w:overflowPunct/>
              <w:topLinePunct w:val="0"/>
              <w:bidi w:val="0"/>
              <w:adjustRightInd/>
              <w:snapToGrid/>
              <w:spacing w:line="520" w:lineRule="exact"/>
              <w:ind w:left="0" w:right="0" w:firstLine="0" w:firstLineChars="0"/>
              <w:jc w:val="left"/>
              <w:textAlignment w:val="auto"/>
              <w:rPr>
                <w:rFonts w:hint="eastAsia" w:ascii="宋体" w:hAnsi="宋体" w:eastAsia="宋体" w:cs="宋体"/>
                <w:sz w:val="24"/>
                <w:szCs w:val="24"/>
              </w:rPr>
            </w:pPr>
          </w:p>
        </w:tc>
      </w:tr>
      <w:tr w14:paraId="129B3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1" w:type="dxa"/>
            <w:vMerge w:val="continue"/>
            <w:vAlign w:val="center"/>
          </w:tcPr>
          <w:p w14:paraId="0E21ABC0">
            <w:pPr>
              <w:keepNext w:val="0"/>
              <w:keepLines w:val="0"/>
              <w:pageBreakBefore w:val="0"/>
              <w:kinsoku/>
              <w:wordWrap/>
              <w:overflowPunct/>
              <w:topLinePunct w:val="0"/>
              <w:bidi w:val="0"/>
              <w:adjustRightInd/>
              <w:snapToGrid/>
              <w:spacing w:line="520" w:lineRule="exact"/>
              <w:ind w:left="0" w:right="0" w:firstLine="0" w:firstLineChars="0"/>
              <w:jc w:val="center"/>
              <w:textAlignment w:val="auto"/>
              <w:rPr>
                <w:rFonts w:hint="eastAsia" w:ascii="宋体" w:hAnsi="宋体" w:eastAsia="宋体" w:cs="宋体"/>
                <w:sz w:val="24"/>
                <w:szCs w:val="24"/>
              </w:rPr>
            </w:pPr>
          </w:p>
        </w:tc>
        <w:tc>
          <w:tcPr>
            <w:tcW w:w="6335" w:type="dxa"/>
            <w:vAlign w:val="center"/>
          </w:tcPr>
          <w:p w14:paraId="751809FF">
            <w:pPr>
              <w:pStyle w:val="230"/>
              <w:keepNext w:val="0"/>
              <w:keepLines w:val="0"/>
              <w:pageBreakBefore w:val="0"/>
              <w:kinsoku/>
              <w:wordWrap/>
              <w:overflowPunct/>
              <w:topLinePunct w:val="0"/>
              <w:bidi w:val="0"/>
              <w:adjustRightInd/>
              <w:snapToGrid/>
              <w:spacing w:line="520" w:lineRule="exact"/>
              <w:ind w:left="0" w:right="0" w:firstLine="0" w:firstLineChars="0"/>
              <w:textAlignment w:val="auto"/>
              <w:rPr>
                <w:rFonts w:hint="eastAsia" w:ascii="宋体" w:hAnsi="宋体" w:eastAsia="宋体" w:cs="宋体"/>
                <w:sz w:val="24"/>
                <w:szCs w:val="24"/>
                <w:highlight w:val="yellow"/>
              </w:rPr>
            </w:pPr>
            <w:r>
              <w:rPr>
                <w:rFonts w:hint="eastAsia" w:ascii="宋体" w:hAnsi="宋体" w:eastAsia="宋体" w:cs="宋体"/>
                <w:spacing w:val="-2"/>
                <w:sz w:val="24"/>
                <w:szCs w:val="24"/>
                <w:lang w:eastAsia="zh-CN"/>
              </w:rPr>
              <w:t>11</w:t>
            </w:r>
            <w:r>
              <w:rPr>
                <w:rFonts w:hint="eastAsia" w:ascii="宋体" w:hAnsi="宋体" w:eastAsia="宋体" w:cs="宋体"/>
                <w:spacing w:val="-1"/>
                <w:sz w:val="24"/>
                <w:szCs w:val="24"/>
                <w:lang w:eastAsia="zh-CN"/>
              </w:rPr>
              <w:t>、</w:t>
            </w:r>
            <w:r>
              <w:rPr>
                <w:rFonts w:hint="eastAsia" w:ascii="宋体" w:hAnsi="宋体" w:eastAsia="宋体" w:cs="宋体"/>
                <w:sz w:val="24"/>
                <w:szCs w:val="24"/>
                <w:lang w:eastAsia="zh-CN"/>
              </w:rPr>
              <w:t>具有</w:t>
            </w:r>
            <w:r>
              <w:rPr>
                <w:rFonts w:hint="eastAsia" w:ascii="宋体" w:hAnsi="宋体" w:eastAsia="宋体" w:cs="宋体"/>
                <w:sz w:val="24"/>
                <w:szCs w:val="24"/>
              </w:rPr>
              <w:t>防尘板、防鼠板</w:t>
            </w:r>
            <w:r>
              <w:rPr>
                <w:rFonts w:hint="eastAsia" w:ascii="宋体" w:hAnsi="宋体" w:eastAsia="宋体" w:cs="宋体"/>
                <w:sz w:val="24"/>
                <w:szCs w:val="24"/>
                <w:lang w:eastAsia="zh-CN"/>
              </w:rPr>
              <w:t>。</w:t>
            </w:r>
          </w:p>
        </w:tc>
        <w:tc>
          <w:tcPr>
            <w:tcW w:w="1068" w:type="dxa"/>
            <w:vMerge w:val="continue"/>
            <w:vAlign w:val="center"/>
          </w:tcPr>
          <w:p w14:paraId="529633E1">
            <w:pPr>
              <w:keepNext w:val="0"/>
              <w:keepLines w:val="0"/>
              <w:pageBreakBefore w:val="0"/>
              <w:kinsoku/>
              <w:wordWrap/>
              <w:overflowPunct/>
              <w:topLinePunct w:val="0"/>
              <w:bidi w:val="0"/>
              <w:adjustRightInd/>
              <w:snapToGrid/>
              <w:spacing w:line="520" w:lineRule="exact"/>
              <w:ind w:left="0" w:right="0" w:firstLine="0" w:firstLineChars="0"/>
              <w:jc w:val="left"/>
              <w:textAlignment w:val="auto"/>
              <w:rPr>
                <w:rFonts w:hint="eastAsia" w:ascii="宋体" w:hAnsi="宋体" w:eastAsia="宋体" w:cs="宋体"/>
                <w:sz w:val="24"/>
                <w:szCs w:val="24"/>
              </w:rPr>
            </w:pPr>
          </w:p>
        </w:tc>
        <w:tc>
          <w:tcPr>
            <w:tcW w:w="616" w:type="dxa"/>
            <w:vMerge w:val="continue"/>
            <w:vAlign w:val="center"/>
          </w:tcPr>
          <w:p w14:paraId="16EB898B">
            <w:pPr>
              <w:keepNext w:val="0"/>
              <w:keepLines w:val="0"/>
              <w:pageBreakBefore w:val="0"/>
              <w:kinsoku/>
              <w:wordWrap/>
              <w:overflowPunct/>
              <w:topLinePunct w:val="0"/>
              <w:bidi w:val="0"/>
              <w:adjustRightInd/>
              <w:snapToGrid/>
              <w:spacing w:line="520" w:lineRule="exact"/>
              <w:ind w:left="0" w:right="0" w:firstLine="0" w:firstLineChars="0"/>
              <w:jc w:val="left"/>
              <w:textAlignment w:val="auto"/>
              <w:rPr>
                <w:rFonts w:hint="eastAsia" w:ascii="宋体" w:hAnsi="宋体" w:eastAsia="宋体" w:cs="宋体"/>
                <w:sz w:val="24"/>
                <w:szCs w:val="24"/>
              </w:rPr>
            </w:pPr>
          </w:p>
        </w:tc>
        <w:tc>
          <w:tcPr>
            <w:tcW w:w="617" w:type="dxa"/>
            <w:vMerge w:val="continue"/>
            <w:vAlign w:val="center"/>
          </w:tcPr>
          <w:p w14:paraId="70666C77">
            <w:pPr>
              <w:keepNext w:val="0"/>
              <w:keepLines w:val="0"/>
              <w:pageBreakBefore w:val="0"/>
              <w:kinsoku/>
              <w:wordWrap/>
              <w:overflowPunct/>
              <w:topLinePunct w:val="0"/>
              <w:bidi w:val="0"/>
              <w:adjustRightInd/>
              <w:snapToGrid/>
              <w:spacing w:line="520" w:lineRule="exact"/>
              <w:ind w:left="0" w:right="0" w:firstLine="0" w:firstLineChars="0"/>
              <w:jc w:val="left"/>
              <w:textAlignment w:val="auto"/>
              <w:rPr>
                <w:rFonts w:hint="eastAsia" w:ascii="宋体" w:hAnsi="宋体" w:eastAsia="宋体" w:cs="宋体"/>
                <w:sz w:val="24"/>
                <w:szCs w:val="24"/>
              </w:rPr>
            </w:pPr>
          </w:p>
        </w:tc>
      </w:tr>
      <w:tr w14:paraId="374F8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121" w:type="dxa"/>
            <w:vMerge w:val="continue"/>
            <w:vAlign w:val="center"/>
          </w:tcPr>
          <w:p w14:paraId="517C1E1B">
            <w:pPr>
              <w:keepNext w:val="0"/>
              <w:keepLines w:val="0"/>
              <w:pageBreakBefore w:val="0"/>
              <w:kinsoku/>
              <w:wordWrap/>
              <w:overflowPunct/>
              <w:topLinePunct w:val="0"/>
              <w:bidi w:val="0"/>
              <w:adjustRightInd/>
              <w:snapToGrid/>
              <w:spacing w:line="520" w:lineRule="exact"/>
              <w:ind w:left="0" w:right="0" w:firstLine="0" w:firstLineChars="0"/>
              <w:jc w:val="center"/>
              <w:textAlignment w:val="auto"/>
              <w:rPr>
                <w:rFonts w:hint="eastAsia" w:ascii="宋体" w:hAnsi="宋体" w:eastAsia="宋体" w:cs="宋体"/>
                <w:sz w:val="24"/>
                <w:szCs w:val="24"/>
              </w:rPr>
            </w:pPr>
          </w:p>
        </w:tc>
        <w:tc>
          <w:tcPr>
            <w:tcW w:w="6335" w:type="dxa"/>
            <w:vAlign w:val="center"/>
          </w:tcPr>
          <w:p w14:paraId="5ED43C30">
            <w:pPr>
              <w:pStyle w:val="230"/>
              <w:keepNext w:val="0"/>
              <w:keepLines w:val="0"/>
              <w:pageBreakBefore w:val="0"/>
              <w:kinsoku/>
              <w:wordWrap/>
              <w:overflowPunct/>
              <w:topLinePunct w:val="0"/>
              <w:bidi w:val="0"/>
              <w:adjustRightInd/>
              <w:snapToGrid/>
              <w:spacing w:line="520" w:lineRule="exact"/>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1"/>
                <w:sz w:val="24"/>
                <w:szCs w:val="24"/>
                <w:lang w:eastAsia="zh-CN"/>
              </w:rPr>
              <w:t>12、传动</w:t>
            </w:r>
            <w:r>
              <w:rPr>
                <w:rFonts w:hint="eastAsia" w:ascii="宋体" w:hAnsi="宋体" w:eastAsia="宋体" w:cs="宋体"/>
                <w:sz w:val="24"/>
                <w:szCs w:val="24"/>
              </w:rPr>
              <w:t>摇手装置：采用常用摇手装置</w:t>
            </w:r>
            <w:r>
              <w:rPr>
                <w:rFonts w:hint="eastAsia" w:ascii="宋体" w:hAnsi="宋体" w:eastAsia="宋体" w:cs="宋体"/>
                <w:sz w:val="24"/>
                <w:szCs w:val="24"/>
                <w:lang w:eastAsia="zh-CN"/>
              </w:rPr>
              <w:t>，</w:t>
            </w:r>
            <w:r>
              <w:rPr>
                <w:rFonts w:hint="eastAsia" w:ascii="宋体" w:hAnsi="宋体" w:eastAsia="宋体" w:cs="宋体"/>
                <w:sz w:val="24"/>
                <w:szCs w:val="24"/>
              </w:rPr>
              <w:t>如：三叉式、圆盘式、7字型等</w:t>
            </w:r>
            <w:r>
              <w:rPr>
                <w:rFonts w:hint="eastAsia" w:ascii="宋体" w:hAnsi="宋体" w:eastAsia="宋体" w:cs="宋体"/>
                <w:sz w:val="24"/>
                <w:szCs w:val="24"/>
                <w:lang w:eastAsia="zh-CN"/>
              </w:rPr>
              <w:t>。</w:t>
            </w:r>
            <w:r>
              <w:rPr>
                <w:rFonts w:hint="eastAsia" w:ascii="宋体" w:hAnsi="宋体" w:eastAsia="宋体" w:cs="宋体"/>
                <w:sz w:val="24"/>
                <w:szCs w:val="24"/>
              </w:rPr>
              <w:t>摇把可</w:t>
            </w:r>
            <w:r>
              <w:rPr>
                <w:rFonts w:hint="eastAsia" w:ascii="宋体" w:hAnsi="宋体" w:eastAsia="宋体" w:cs="宋体"/>
                <w:sz w:val="24"/>
                <w:szCs w:val="24"/>
                <w:lang w:eastAsia="zh-CN"/>
              </w:rPr>
              <w:t>折叠</w:t>
            </w:r>
            <w:r>
              <w:rPr>
                <w:rFonts w:hint="eastAsia" w:ascii="宋体" w:hAnsi="宋体" w:eastAsia="宋体" w:cs="宋体"/>
                <w:sz w:val="24"/>
                <w:szCs w:val="24"/>
              </w:rPr>
              <w:t>隐藏</w:t>
            </w:r>
            <w:r>
              <w:rPr>
                <w:rFonts w:hint="eastAsia" w:ascii="宋体" w:hAnsi="宋体" w:eastAsia="宋体" w:cs="宋体"/>
                <w:sz w:val="24"/>
                <w:szCs w:val="24"/>
                <w:lang w:eastAsia="zh-CN"/>
              </w:rPr>
              <w:t>，自动挂档、脱档，可避免通道障碍，摇动任何一列均不会带动其他手柄转动。链条破断力≥1800kg。传动轴采用内径Φ20实心45＃钢；连接钢管采用内径Φ20无缝钢管；底盘轴承安装采用P204E级带座球面轴承。</w:t>
            </w:r>
          </w:p>
        </w:tc>
        <w:tc>
          <w:tcPr>
            <w:tcW w:w="1068" w:type="dxa"/>
            <w:vMerge w:val="continue"/>
            <w:vAlign w:val="center"/>
          </w:tcPr>
          <w:p w14:paraId="12B92956">
            <w:pPr>
              <w:keepNext w:val="0"/>
              <w:keepLines w:val="0"/>
              <w:pageBreakBefore w:val="0"/>
              <w:kinsoku/>
              <w:wordWrap/>
              <w:overflowPunct/>
              <w:topLinePunct w:val="0"/>
              <w:bidi w:val="0"/>
              <w:adjustRightInd/>
              <w:snapToGrid/>
              <w:spacing w:line="520" w:lineRule="exact"/>
              <w:ind w:left="0" w:right="0" w:firstLine="0" w:firstLineChars="0"/>
              <w:jc w:val="left"/>
              <w:textAlignment w:val="auto"/>
              <w:rPr>
                <w:rFonts w:hint="eastAsia" w:ascii="宋体" w:hAnsi="宋体" w:eastAsia="宋体" w:cs="宋体"/>
                <w:sz w:val="24"/>
                <w:szCs w:val="24"/>
              </w:rPr>
            </w:pPr>
          </w:p>
        </w:tc>
        <w:tc>
          <w:tcPr>
            <w:tcW w:w="616" w:type="dxa"/>
            <w:vMerge w:val="continue"/>
            <w:vAlign w:val="center"/>
          </w:tcPr>
          <w:p w14:paraId="60445501">
            <w:pPr>
              <w:keepNext w:val="0"/>
              <w:keepLines w:val="0"/>
              <w:pageBreakBefore w:val="0"/>
              <w:kinsoku/>
              <w:wordWrap/>
              <w:overflowPunct/>
              <w:topLinePunct w:val="0"/>
              <w:bidi w:val="0"/>
              <w:adjustRightInd/>
              <w:snapToGrid/>
              <w:spacing w:line="520" w:lineRule="exact"/>
              <w:ind w:left="0" w:right="0" w:firstLine="0" w:firstLineChars="0"/>
              <w:jc w:val="left"/>
              <w:textAlignment w:val="auto"/>
              <w:rPr>
                <w:rFonts w:hint="eastAsia" w:ascii="宋体" w:hAnsi="宋体" w:eastAsia="宋体" w:cs="宋体"/>
                <w:sz w:val="24"/>
                <w:szCs w:val="24"/>
              </w:rPr>
            </w:pPr>
          </w:p>
        </w:tc>
        <w:tc>
          <w:tcPr>
            <w:tcW w:w="617" w:type="dxa"/>
            <w:vMerge w:val="continue"/>
            <w:vAlign w:val="center"/>
          </w:tcPr>
          <w:p w14:paraId="76CDA0A1">
            <w:pPr>
              <w:keepNext w:val="0"/>
              <w:keepLines w:val="0"/>
              <w:pageBreakBefore w:val="0"/>
              <w:kinsoku/>
              <w:wordWrap/>
              <w:overflowPunct/>
              <w:topLinePunct w:val="0"/>
              <w:bidi w:val="0"/>
              <w:adjustRightInd/>
              <w:snapToGrid/>
              <w:spacing w:line="520" w:lineRule="exact"/>
              <w:ind w:left="0" w:right="0" w:firstLine="0" w:firstLineChars="0"/>
              <w:jc w:val="left"/>
              <w:textAlignment w:val="auto"/>
              <w:rPr>
                <w:rFonts w:hint="eastAsia" w:ascii="宋体" w:hAnsi="宋体" w:eastAsia="宋体" w:cs="宋体"/>
                <w:sz w:val="24"/>
                <w:szCs w:val="24"/>
              </w:rPr>
            </w:pPr>
          </w:p>
        </w:tc>
      </w:tr>
      <w:tr w14:paraId="7499B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21" w:type="dxa"/>
            <w:vMerge w:val="continue"/>
            <w:vAlign w:val="center"/>
          </w:tcPr>
          <w:p w14:paraId="00E55CA3">
            <w:pPr>
              <w:keepNext w:val="0"/>
              <w:keepLines w:val="0"/>
              <w:pageBreakBefore w:val="0"/>
              <w:kinsoku/>
              <w:wordWrap/>
              <w:overflowPunct/>
              <w:topLinePunct w:val="0"/>
              <w:bidi w:val="0"/>
              <w:adjustRightInd/>
              <w:snapToGrid/>
              <w:spacing w:line="520" w:lineRule="exact"/>
              <w:ind w:left="0" w:right="0" w:firstLine="0" w:firstLineChars="0"/>
              <w:jc w:val="center"/>
              <w:textAlignment w:val="auto"/>
              <w:rPr>
                <w:rFonts w:hint="eastAsia" w:ascii="宋体" w:hAnsi="宋体" w:eastAsia="宋体" w:cs="宋体"/>
                <w:color w:val="000000"/>
                <w:sz w:val="24"/>
                <w:szCs w:val="24"/>
              </w:rPr>
            </w:pPr>
          </w:p>
        </w:tc>
        <w:tc>
          <w:tcPr>
            <w:tcW w:w="6335" w:type="dxa"/>
          </w:tcPr>
          <w:p w14:paraId="3C6A20E8">
            <w:pPr>
              <w:pStyle w:val="230"/>
              <w:keepNext w:val="0"/>
              <w:keepLines w:val="0"/>
              <w:pageBreakBefore w:val="0"/>
              <w:kinsoku/>
              <w:wordWrap/>
              <w:overflowPunct/>
              <w:topLinePunct w:val="0"/>
              <w:bidi w:val="0"/>
              <w:adjustRightInd/>
              <w:snapToGrid/>
              <w:spacing w:line="520" w:lineRule="exact"/>
              <w:ind w:left="0" w:right="0" w:firstLine="0" w:firstLineChars="0"/>
              <w:textAlignment w:val="auto"/>
              <w:rPr>
                <w:rFonts w:hint="eastAsia" w:ascii="宋体" w:hAnsi="宋体" w:eastAsia="宋体" w:cs="宋体"/>
                <w:sz w:val="24"/>
                <w:szCs w:val="24"/>
                <w:lang w:eastAsia="zh-CN"/>
              </w:rPr>
            </w:pPr>
            <w:r>
              <w:rPr>
                <w:rFonts w:hint="eastAsia" w:ascii="宋体" w:hAnsi="宋体" w:eastAsia="宋体" w:cs="宋体"/>
                <w:spacing w:val="-3"/>
                <w:sz w:val="24"/>
                <w:szCs w:val="24"/>
              </w:rPr>
              <w:t>▲</w:t>
            </w:r>
            <w:r>
              <w:rPr>
                <w:rFonts w:hint="eastAsia" w:ascii="宋体" w:hAnsi="宋体" w:eastAsia="宋体" w:cs="宋体"/>
                <w:spacing w:val="-3"/>
                <w:sz w:val="24"/>
                <w:szCs w:val="24"/>
                <w:lang w:eastAsia="zh-CN"/>
              </w:rPr>
              <w:t>13</w:t>
            </w:r>
            <w:r>
              <w:rPr>
                <w:rFonts w:hint="eastAsia" w:ascii="宋体" w:hAnsi="宋体" w:eastAsia="宋体" w:cs="宋体"/>
                <w:spacing w:val="-1"/>
                <w:sz w:val="24"/>
                <w:szCs w:val="24"/>
                <w:lang w:eastAsia="zh-CN"/>
              </w:rPr>
              <w:t>、</w:t>
            </w:r>
            <w:r>
              <w:rPr>
                <w:rFonts w:hint="eastAsia" w:ascii="宋体" w:hAnsi="宋体" w:eastAsia="宋体" w:cs="宋体"/>
                <w:sz w:val="24"/>
                <w:szCs w:val="24"/>
                <w:lang w:eastAsia="zh-CN"/>
              </w:rPr>
              <w:t>制动装置：每列均装有刹车制动装置，使之做到每一列均可锁定，查阅资料和存放文件时能确保人身安全，存取更安全。每一组合团体均装有总锁装置，使之做到每个组合团体都可锁定。</w:t>
            </w:r>
            <w:r>
              <w:rPr>
                <w:rFonts w:hint="eastAsia" w:ascii="宋体" w:hAnsi="宋体" w:eastAsia="宋体" w:cs="宋体"/>
                <w:sz w:val="24"/>
                <w:szCs w:val="24"/>
              </w:rPr>
              <w:t>每列的接触面均应有缓冲及密封条，顶部有防尘板，每列架体上方安装防尘压条，底部有防鼠板，合拢后无缝隙，具有良好的防尘、防光、防鼠、防潮等功能</w:t>
            </w:r>
            <w:r>
              <w:rPr>
                <w:rFonts w:hint="eastAsia" w:ascii="宋体" w:hAnsi="宋体" w:eastAsia="宋体" w:cs="宋体"/>
                <w:sz w:val="24"/>
                <w:szCs w:val="24"/>
                <w:lang w:eastAsia="zh-CN"/>
              </w:rPr>
              <w:t>。</w:t>
            </w:r>
          </w:p>
        </w:tc>
        <w:tc>
          <w:tcPr>
            <w:tcW w:w="1068" w:type="dxa"/>
            <w:vMerge w:val="continue"/>
            <w:vAlign w:val="center"/>
          </w:tcPr>
          <w:p w14:paraId="12BEEDC2">
            <w:pPr>
              <w:keepNext w:val="0"/>
              <w:keepLines w:val="0"/>
              <w:pageBreakBefore w:val="0"/>
              <w:kinsoku/>
              <w:wordWrap/>
              <w:overflowPunct/>
              <w:topLinePunct w:val="0"/>
              <w:bidi w:val="0"/>
              <w:adjustRightInd/>
              <w:snapToGrid/>
              <w:spacing w:line="520" w:lineRule="exact"/>
              <w:ind w:left="0" w:right="0" w:firstLine="0" w:firstLineChars="0"/>
              <w:jc w:val="left"/>
              <w:textAlignment w:val="auto"/>
              <w:rPr>
                <w:rFonts w:hint="eastAsia" w:ascii="宋体" w:hAnsi="宋体" w:eastAsia="宋体" w:cs="宋体"/>
                <w:sz w:val="24"/>
                <w:szCs w:val="24"/>
              </w:rPr>
            </w:pPr>
          </w:p>
        </w:tc>
        <w:tc>
          <w:tcPr>
            <w:tcW w:w="616" w:type="dxa"/>
            <w:vMerge w:val="continue"/>
            <w:vAlign w:val="center"/>
          </w:tcPr>
          <w:p w14:paraId="4438C922">
            <w:pPr>
              <w:keepNext w:val="0"/>
              <w:keepLines w:val="0"/>
              <w:pageBreakBefore w:val="0"/>
              <w:kinsoku/>
              <w:wordWrap/>
              <w:overflowPunct/>
              <w:topLinePunct w:val="0"/>
              <w:bidi w:val="0"/>
              <w:adjustRightInd/>
              <w:snapToGrid/>
              <w:spacing w:line="520" w:lineRule="exact"/>
              <w:ind w:left="0" w:right="0" w:firstLine="0" w:firstLineChars="0"/>
              <w:jc w:val="left"/>
              <w:textAlignment w:val="auto"/>
              <w:rPr>
                <w:rFonts w:hint="eastAsia" w:ascii="宋体" w:hAnsi="宋体" w:eastAsia="宋体" w:cs="宋体"/>
                <w:sz w:val="24"/>
                <w:szCs w:val="24"/>
              </w:rPr>
            </w:pPr>
          </w:p>
        </w:tc>
        <w:tc>
          <w:tcPr>
            <w:tcW w:w="617" w:type="dxa"/>
            <w:vMerge w:val="continue"/>
            <w:vAlign w:val="center"/>
          </w:tcPr>
          <w:p w14:paraId="740619A1">
            <w:pPr>
              <w:keepNext w:val="0"/>
              <w:keepLines w:val="0"/>
              <w:pageBreakBefore w:val="0"/>
              <w:kinsoku/>
              <w:wordWrap/>
              <w:overflowPunct/>
              <w:topLinePunct w:val="0"/>
              <w:bidi w:val="0"/>
              <w:adjustRightInd/>
              <w:snapToGrid/>
              <w:spacing w:line="520" w:lineRule="exact"/>
              <w:ind w:left="0" w:right="0" w:firstLine="0" w:firstLineChars="0"/>
              <w:jc w:val="left"/>
              <w:textAlignment w:val="auto"/>
              <w:rPr>
                <w:rFonts w:hint="eastAsia" w:ascii="宋体" w:hAnsi="宋体" w:eastAsia="宋体" w:cs="宋体"/>
                <w:sz w:val="24"/>
                <w:szCs w:val="24"/>
              </w:rPr>
            </w:pPr>
          </w:p>
        </w:tc>
      </w:tr>
      <w:tr w14:paraId="3CAF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1" w:type="dxa"/>
            <w:vMerge w:val="continue"/>
            <w:vAlign w:val="center"/>
          </w:tcPr>
          <w:p w14:paraId="301CB3D1">
            <w:pPr>
              <w:keepNext w:val="0"/>
              <w:keepLines w:val="0"/>
              <w:pageBreakBefore w:val="0"/>
              <w:kinsoku/>
              <w:wordWrap/>
              <w:overflowPunct/>
              <w:topLinePunct w:val="0"/>
              <w:bidi w:val="0"/>
              <w:adjustRightInd/>
              <w:snapToGrid/>
              <w:spacing w:line="520" w:lineRule="exact"/>
              <w:ind w:left="0" w:right="0" w:firstLine="0" w:firstLineChars="0"/>
              <w:jc w:val="center"/>
              <w:textAlignment w:val="auto"/>
              <w:rPr>
                <w:rFonts w:hint="eastAsia" w:ascii="宋体" w:hAnsi="宋体" w:eastAsia="宋体" w:cs="宋体"/>
                <w:sz w:val="24"/>
                <w:szCs w:val="24"/>
              </w:rPr>
            </w:pPr>
          </w:p>
        </w:tc>
        <w:tc>
          <w:tcPr>
            <w:tcW w:w="6335" w:type="dxa"/>
          </w:tcPr>
          <w:p w14:paraId="1C83A9F0">
            <w:pPr>
              <w:pStyle w:val="230"/>
              <w:keepNext w:val="0"/>
              <w:keepLines w:val="0"/>
              <w:pageBreakBefore w:val="0"/>
              <w:kinsoku/>
              <w:wordWrap/>
              <w:overflowPunct/>
              <w:topLinePunct w:val="0"/>
              <w:bidi w:val="0"/>
              <w:adjustRightInd/>
              <w:snapToGrid/>
              <w:spacing w:line="520" w:lineRule="exact"/>
              <w:ind w:left="0" w:right="0" w:firstLine="0" w:firstLineChars="0"/>
              <w:textAlignment w:val="auto"/>
              <w:rPr>
                <w:rFonts w:hint="eastAsia" w:ascii="宋体" w:hAnsi="宋体" w:eastAsia="宋体" w:cs="宋体"/>
                <w:spacing w:val="-1"/>
                <w:sz w:val="24"/>
                <w:szCs w:val="24"/>
                <w:lang w:eastAsia="zh-CN"/>
              </w:rPr>
            </w:pPr>
            <w:r>
              <w:rPr>
                <w:rFonts w:hint="eastAsia" w:ascii="宋体" w:hAnsi="宋体" w:eastAsia="宋体" w:cs="宋体"/>
                <w:spacing w:val="-3"/>
                <w:sz w:val="24"/>
                <w:szCs w:val="24"/>
              </w:rPr>
              <w:t>▲</w:t>
            </w:r>
            <w:r>
              <w:rPr>
                <w:rFonts w:hint="eastAsia" w:ascii="宋体" w:hAnsi="宋体" w:eastAsia="宋体" w:cs="宋体"/>
                <w:spacing w:val="-3"/>
                <w:sz w:val="24"/>
                <w:szCs w:val="24"/>
                <w:lang w:eastAsia="zh-CN"/>
              </w:rPr>
              <w:t>14</w:t>
            </w:r>
            <w:r>
              <w:rPr>
                <w:rFonts w:hint="eastAsia" w:ascii="宋体" w:hAnsi="宋体" w:eastAsia="宋体" w:cs="宋体"/>
                <w:spacing w:val="-1"/>
                <w:sz w:val="24"/>
                <w:szCs w:val="24"/>
                <w:lang w:eastAsia="zh-CN"/>
              </w:rPr>
              <w:t>、（1）载重性能要求：搁板负载载重 80kg，最大挠度 3mm，24h 卸载后，不得出现裂痕及钢性变形，残余变形量不大于 0.3mm。</w:t>
            </w:r>
          </w:p>
          <w:p w14:paraId="4C6E77EA">
            <w:pPr>
              <w:pStyle w:val="230"/>
              <w:keepNext w:val="0"/>
              <w:keepLines w:val="0"/>
              <w:pageBreakBefore w:val="0"/>
              <w:kinsoku/>
              <w:wordWrap/>
              <w:overflowPunct/>
              <w:topLinePunct w:val="0"/>
              <w:bidi w:val="0"/>
              <w:adjustRightInd/>
              <w:snapToGrid/>
              <w:spacing w:line="520" w:lineRule="exact"/>
              <w:ind w:left="0" w:right="0" w:firstLine="0" w:firstLineChars="0"/>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（2）全负载载重：每标准节在全负载（搁板均匀载重 80kg）的情况下，架体、立柱不应有明显变形，架体不应产生倾倒现象。</w:t>
            </w:r>
          </w:p>
          <w:p w14:paraId="0CD52B0B">
            <w:pPr>
              <w:pStyle w:val="230"/>
              <w:keepNext w:val="0"/>
              <w:keepLines w:val="0"/>
              <w:pageBreakBefore w:val="0"/>
              <w:kinsoku/>
              <w:wordWrap/>
              <w:overflowPunct/>
              <w:topLinePunct w:val="0"/>
              <w:bidi w:val="0"/>
              <w:adjustRightInd/>
              <w:snapToGrid/>
              <w:spacing w:line="520" w:lineRule="exact"/>
              <w:ind w:left="0" w:right="0" w:firstLine="0" w:firstLineChars="0"/>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（3）载重运行：在全负载的情况下，各列密集架在手动操纵下，都应运行自如，不得有阻滞现象。每标准节手动摇力应不大于 11.8N（每列密集架的手柄摇力为：11.8N×标准节数）。</w:t>
            </w:r>
          </w:p>
        </w:tc>
        <w:tc>
          <w:tcPr>
            <w:tcW w:w="1068" w:type="dxa"/>
            <w:vMerge w:val="continue"/>
            <w:vAlign w:val="center"/>
          </w:tcPr>
          <w:p w14:paraId="576545AD">
            <w:pPr>
              <w:keepNext w:val="0"/>
              <w:keepLines w:val="0"/>
              <w:pageBreakBefore w:val="0"/>
              <w:kinsoku/>
              <w:wordWrap/>
              <w:overflowPunct/>
              <w:topLinePunct w:val="0"/>
              <w:bidi w:val="0"/>
              <w:adjustRightInd/>
              <w:snapToGrid/>
              <w:spacing w:line="520" w:lineRule="exact"/>
              <w:ind w:left="0" w:right="0" w:firstLine="0" w:firstLineChars="0"/>
              <w:jc w:val="left"/>
              <w:textAlignment w:val="auto"/>
              <w:rPr>
                <w:rFonts w:hint="eastAsia" w:ascii="宋体" w:hAnsi="宋体" w:eastAsia="宋体" w:cs="宋体"/>
                <w:sz w:val="24"/>
                <w:szCs w:val="24"/>
              </w:rPr>
            </w:pPr>
          </w:p>
        </w:tc>
        <w:tc>
          <w:tcPr>
            <w:tcW w:w="616" w:type="dxa"/>
            <w:vMerge w:val="continue"/>
            <w:vAlign w:val="center"/>
          </w:tcPr>
          <w:p w14:paraId="5A9D78A0">
            <w:pPr>
              <w:keepNext w:val="0"/>
              <w:keepLines w:val="0"/>
              <w:pageBreakBefore w:val="0"/>
              <w:kinsoku/>
              <w:wordWrap/>
              <w:overflowPunct/>
              <w:topLinePunct w:val="0"/>
              <w:bidi w:val="0"/>
              <w:adjustRightInd/>
              <w:snapToGrid/>
              <w:spacing w:line="520" w:lineRule="exact"/>
              <w:ind w:left="0" w:right="0" w:firstLine="0" w:firstLineChars="0"/>
              <w:jc w:val="left"/>
              <w:textAlignment w:val="auto"/>
              <w:rPr>
                <w:rFonts w:hint="eastAsia" w:ascii="宋体" w:hAnsi="宋体" w:eastAsia="宋体" w:cs="宋体"/>
                <w:sz w:val="24"/>
                <w:szCs w:val="24"/>
              </w:rPr>
            </w:pPr>
          </w:p>
        </w:tc>
        <w:tc>
          <w:tcPr>
            <w:tcW w:w="617" w:type="dxa"/>
            <w:vMerge w:val="continue"/>
            <w:vAlign w:val="center"/>
          </w:tcPr>
          <w:p w14:paraId="3C9CCEDC">
            <w:pPr>
              <w:keepNext w:val="0"/>
              <w:keepLines w:val="0"/>
              <w:pageBreakBefore w:val="0"/>
              <w:kinsoku/>
              <w:wordWrap/>
              <w:overflowPunct/>
              <w:topLinePunct w:val="0"/>
              <w:bidi w:val="0"/>
              <w:adjustRightInd/>
              <w:snapToGrid/>
              <w:spacing w:line="520" w:lineRule="exact"/>
              <w:ind w:left="0" w:right="0" w:firstLine="0" w:firstLineChars="0"/>
              <w:jc w:val="left"/>
              <w:textAlignment w:val="auto"/>
              <w:rPr>
                <w:rFonts w:hint="eastAsia" w:ascii="宋体" w:hAnsi="宋体" w:eastAsia="宋体" w:cs="宋体"/>
                <w:sz w:val="24"/>
                <w:szCs w:val="24"/>
              </w:rPr>
            </w:pPr>
          </w:p>
        </w:tc>
      </w:tr>
      <w:tr w14:paraId="70DC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1" w:type="dxa"/>
            <w:vMerge w:val="continue"/>
            <w:vAlign w:val="center"/>
          </w:tcPr>
          <w:p w14:paraId="12886836">
            <w:pPr>
              <w:keepNext w:val="0"/>
              <w:keepLines w:val="0"/>
              <w:pageBreakBefore w:val="0"/>
              <w:kinsoku/>
              <w:wordWrap/>
              <w:overflowPunct/>
              <w:topLinePunct w:val="0"/>
              <w:bidi w:val="0"/>
              <w:adjustRightInd/>
              <w:snapToGrid/>
              <w:spacing w:line="520" w:lineRule="exact"/>
              <w:ind w:left="0" w:right="0" w:firstLine="0" w:firstLineChars="0"/>
              <w:jc w:val="center"/>
              <w:textAlignment w:val="auto"/>
              <w:rPr>
                <w:rFonts w:hint="eastAsia" w:ascii="宋体" w:hAnsi="宋体" w:eastAsia="宋体" w:cs="宋体"/>
                <w:sz w:val="24"/>
                <w:szCs w:val="24"/>
              </w:rPr>
            </w:pPr>
          </w:p>
        </w:tc>
        <w:tc>
          <w:tcPr>
            <w:tcW w:w="6335" w:type="dxa"/>
          </w:tcPr>
          <w:p w14:paraId="6894BDD8">
            <w:pPr>
              <w:pStyle w:val="230"/>
              <w:keepNext w:val="0"/>
              <w:keepLines w:val="0"/>
              <w:pageBreakBefore w:val="0"/>
              <w:kinsoku/>
              <w:wordWrap/>
              <w:overflowPunct/>
              <w:topLinePunct w:val="0"/>
              <w:bidi w:val="0"/>
              <w:adjustRightInd/>
              <w:snapToGrid/>
              <w:spacing w:line="520" w:lineRule="exact"/>
              <w:ind w:left="0" w:right="0" w:firstLine="0" w:firstLineChars="0"/>
              <w:textAlignment w:val="auto"/>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17</w:t>
            </w:r>
            <w:r>
              <w:rPr>
                <w:rFonts w:hint="eastAsia" w:ascii="宋体" w:hAnsi="宋体" w:eastAsia="宋体" w:cs="宋体"/>
                <w:spacing w:val="-1"/>
                <w:sz w:val="24"/>
                <w:szCs w:val="24"/>
                <w:lang w:eastAsia="zh-CN"/>
              </w:rPr>
              <w:t>、</w:t>
            </w:r>
            <w:r>
              <w:rPr>
                <w:rFonts w:hint="eastAsia" w:ascii="宋体" w:hAnsi="宋体" w:eastAsia="宋体" w:cs="宋体"/>
                <w:spacing w:val="-2"/>
                <w:sz w:val="24"/>
                <w:szCs w:val="24"/>
              </w:rPr>
              <w:t>制造要求</w:t>
            </w:r>
            <w:r>
              <w:rPr>
                <w:rFonts w:hint="eastAsia" w:ascii="宋体" w:hAnsi="宋体" w:eastAsia="宋体" w:cs="宋体"/>
                <w:spacing w:val="-2"/>
                <w:sz w:val="24"/>
                <w:szCs w:val="24"/>
                <w:lang w:eastAsia="zh-CN"/>
              </w:rPr>
              <w:t>：</w:t>
            </w:r>
          </w:p>
          <w:p w14:paraId="5B6A3A6B">
            <w:pPr>
              <w:pStyle w:val="230"/>
              <w:keepNext w:val="0"/>
              <w:keepLines w:val="0"/>
              <w:pageBreakBefore w:val="0"/>
              <w:kinsoku/>
              <w:wordWrap/>
              <w:overflowPunct/>
              <w:topLinePunct w:val="0"/>
              <w:bidi w:val="0"/>
              <w:adjustRightInd/>
              <w:snapToGrid/>
              <w:spacing w:line="520" w:lineRule="exact"/>
              <w:ind w:left="0" w:right="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（1）凡需焊接的部位应焊接牢固，焊点均匀，焊痕高度以不大于 1mm，焊点间距应控制在 100mm 以内，焊痕表面波纹平整，不得出现焊焦、焊穿等现象。</w:t>
            </w:r>
          </w:p>
          <w:p w14:paraId="1670F0DF">
            <w:pPr>
              <w:pStyle w:val="230"/>
              <w:keepNext w:val="0"/>
              <w:keepLines w:val="0"/>
              <w:pageBreakBefore w:val="0"/>
              <w:kinsoku/>
              <w:wordWrap/>
              <w:overflowPunct/>
              <w:topLinePunct w:val="0"/>
              <w:bidi w:val="0"/>
              <w:adjustRightInd/>
              <w:snapToGrid/>
              <w:spacing w:line="520" w:lineRule="exact"/>
              <w:ind w:left="0" w:right="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（2）冲压件必须平整无毛刺，不允许有裂痕，冲压尺寸的误差应控制在±2.0mm之内。</w:t>
            </w:r>
          </w:p>
          <w:p w14:paraId="07F25667">
            <w:pPr>
              <w:pStyle w:val="230"/>
              <w:keepNext w:val="0"/>
              <w:keepLines w:val="0"/>
              <w:pageBreakBefore w:val="0"/>
              <w:kinsoku/>
              <w:wordWrap/>
              <w:overflowPunct/>
              <w:topLinePunct w:val="0"/>
              <w:bidi w:val="0"/>
              <w:adjustRightInd/>
              <w:snapToGrid/>
              <w:spacing w:line="520" w:lineRule="exact"/>
              <w:ind w:left="0" w:right="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（3）折弯必须到位，以确保工件折弯所需角度，其邻边垂直度、平行度控制在≤1.5mm 内。</w:t>
            </w:r>
          </w:p>
          <w:p w14:paraId="3BB1CF0E">
            <w:pPr>
              <w:pStyle w:val="230"/>
              <w:keepNext w:val="0"/>
              <w:keepLines w:val="0"/>
              <w:pageBreakBefore w:val="0"/>
              <w:kinsoku/>
              <w:wordWrap/>
              <w:overflowPunct/>
              <w:topLinePunct w:val="0"/>
              <w:bidi w:val="0"/>
              <w:adjustRightInd/>
              <w:snapToGrid/>
              <w:spacing w:line="520" w:lineRule="exact"/>
              <w:ind w:left="0" w:right="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（4）涂层表面应平整光滑，色泽均匀一致，不允许有流挂、起粒、皱皮、露底、剥落、伤痕等外观缺陷。</w:t>
            </w:r>
          </w:p>
          <w:p w14:paraId="033C7287">
            <w:pPr>
              <w:pStyle w:val="230"/>
              <w:keepNext w:val="0"/>
              <w:keepLines w:val="0"/>
              <w:pageBreakBefore w:val="0"/>
              <w:kinsoku/>
              <w:wordWrap/>
              <w:overflowPunct/>
              <w:topLinePunct w:val="0"/>
              <w:bidi w:val="0"/>
              <w:adjustRightInd/>
              <w:snapToGrid/>
              <w:spacing w:line="520" w:lineRule="exact"/>
              <w:ind w:left="0" w:right="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（5）各零件、组合件表面应光滑平整，不得有尖角凸起；各零件、组合件之间能保持互换性。所有标准件及紧固件均需氧化或镀锌处理。</w:t>
            </w:r>
          </w:p>
        </w:tc>
        <w:tc>
          <w:tcPr>
            <w:tcW w:w="1068" w:type="dxa"/>
            <w:vMerge w:val="continue"/>
            <w:vAlign w:val="center"/>
          </w:tcPr>
          <w:p w14:paraId="277C39C5">
            <w:pPr>
              <w:keepNext w:val="0"/>
              <w:keepLines w:val="0"/>
              <w:pageBreakBefore w:val="0"/>
              <w:kinsoku/>
              <w:wordWrap/>
              <w:overflowPunct/>
              <w:topLinePunct w:val="0"/>
              <w:bidi w:val="0"/>
              <w:adjustRightInd/>
              <w:snapToGrid/>
              <w:spacing w:line="520" w:lineRule="exact"/>
              <w:ind w:left="0" w:right="0" w:firstLine="0" w:firstLineChars="0"/>
              <w:jc w:val="left"/>
              <w:textAlignment w:val="auto"/>
              <w:rPr>
                <w:rFonts w:hint="eastAsia" w:ascii="宋体" w:hAnsi="宋体" w:eastAsia="宋体" w:cs="宋体"/>
                <w:sz w:val="24"/>
                <w:szCs w:val="24"/>
              </w:rPr>
            </w:pPr>
          </w:p>
        </w:tc>
        <w:tc>
          <w:tcPr>
            <w:tcW w:w="616" w:type="dxa"/>
            <w:vMerge w:val="continue"/>
            <w:vAlign w:val="center"/>
          </w:tcPr>
          <w:p w14:paraId="67AEE73F">
            <w:pPr>
              <w:keepNext w:val="0"/>
              <w:keepLines w:val="0"/>
              <w:pageBreakBefore w:val="0"/>
              <w:kinsoku/>
              <w:wordWrap/>
              <w:overflowPunct/>
              <w:topLinePunct w:val="0"/>
              <w:bidi w:val="0"/>
              <w:adjustRightInd/>
              <w:snapToGrid/>
              <w:spacing w:line="520" w:lineRule="exact"/>
              <w:ind w:left="0" w:right="0" w:firstLine="0" w:firstLineChars="0"/>
              <w:jc w:val="left"/>
              <w:textAlignment w:val="auto"/>
              <w:rPr>
                <w:rFonts w:hint="eastAsia" w:ascii="宋体" w:hAnsi="宋体" w:eastAsia="宋体" w:cs="宋体"/>
                <w:sz w:val="24"/>
                <w:szCs w:val="24"/>
              </w:rPr>
            </w:pPr>
          </w:p>
        </w:tc>
        <w:tc>
          <w:tcPr>
            <w:tcW w:w="617" w:type="dxa"/>
            <w:vMerge w:val="continue"/>
            <w:vAlign w:val="center"/>
          </w:tcPr>
          <w:p w14:paraId="21C1D8B6">
            <w:pPr>
              <w:keepNext w:val="0"/>
              <w:keepLines w:val="0"/>
              <w:pageBreakBefore w:val="0"/>
              <w:kinsoku/>
              <w:wordWrap/>
              <w:overflowPunct/>
              <w:topLinePunct w:val="0"/>
              <w:bidi w:val="0"/>
              <w:adjustRightInd/>
              <w:snapToGrid/>
              <w:spacing w:line="520" w:lineRule="exact"/>
              <w:ind w:left="0" w:right="0" w:firstLine="0" w:firstLineChars="0"/>
              <w:jc w:val="left"/>
              <w:textAlignment w:val="auto"/>
              <w:rPr>
                <w:rFonts w:hint="eastAsia" w:ascii="宋体" w:hAnsi="宋体" w:eastAsia="宋体" w:cs="宋体"/>
                <w:sz w:val="24"/>
                <w:szCs w:val="24"/>
              </w:rPr>
            </w:pPr>
          </w:p>
        </w:tc>
      </w:tr>
      <w:tr w14:paraId="17D4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jc w:val="center"/>
        </w:trPr>
        <w:tc>
          <w:tcPr>
            <w:tcW w:w="1121" w:type="dxa"/>
            <w:vMerge w:val="continue"/>
            <w:vAlign w:val="center"/>
          </w:tcPr>
          <w:p w14:paraId="38201E70">
            <w:pPr>
              <w:keepNext w:val="0"/>
              <w:keepLines w:val="0"/>
              <w:pageBreakBefore w:val="0"/>
              <w:widowControl/>
              <w:kinsoku/>
              <w:wordWrap/>
              <w:overflowPunct/>
              <w:topLinePunct w:val="0"/>
              <w:bidi w:val="0"/>
              <w:adjustRightInd/>
              <w:snapToGrid/>
              <w:spacing w:line="520" w:lineRule="exact"/>
              <w:ind w:left="0" w:right="0" w:firstLine="0" w:firstLineChars="0"/>
              <w:jc w:val="center"/>
              <w:textAlignment w:val="auto"/>
              <w:rPr>
                <w:rFonts w:hint="eastAsia" w:ascii="宋体" w:hAnsi="宋体" w:eastAsia="宋体" w:cs="宋体"/>
                <w:sz w:val="24"/>
                <w:szCs w:val="24"/>
              </w:rPr>
            </w:pPr>
          </w:p>
        </w:tc>
        <w:tc>
          <w:tcPr>
            <w:tcW w:w="6335" w:type="dxa"/>
          </w:tcPr>
          <w:p w14:paraId="7D7A36B0">
            <w:pPr>
              <w:pStyle w:val="230"/>
              <w:keepNext w:val="0"/>
              <w:keepLines w:val="0"/>
              <w:pageBreakBefore w:val="0"/>
              <w:kinsoku/>
              <w:wordWrap/>
              <w:overflowPunct/>
              <w:topLinePunct w:val="0"/>
              <w:bidi w:val="0"/>
              <w:adjustRightInd/>
              <w:snapToGrid/>
              <w:spacing w:line="520" w:lineRule="exact"/>
              <w:ind w:left="0" w:right="0" w:firstLine="0" w:firstLineChars="0"/>
              <w:textAlignment w:val="auto"/>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18</w:t>
            </w:r>
            <w:r>
              <w:rPr>
                <w:rFonts w:hint="eastAsia" w:ascii="宋体" w:hAnsi="宋体" w:eastAsia="宋体" w:cs="宋体"/>
                <w:spacing w:val="-1"/>
                <w:sz w:val="24"/>
                <w:szCs w:val="24"/>
                <w:lang w:eastAsia="zh-CN"/>
              </w:rPr>
              <w:t>、</w:t>
            </w:r>
            <w:r>
              <w:rPr>
                <w:rFonts w:hint="eastAsia" w:ascii="宋体" w:hAnsi="宋体" w:eastAsia="宋体" w:cs="宋体"/>
                <w:spacing w:val="-2"/>
                <w:sz w:val="24"/>
                <w:szCs w:val="24"/>
                <w:lang w:eastAsia="zh-CN"/>
              </w:rPr>
              <w:t>安装要求：</w:t>
            </w:r>
          </w:p>
          <w:p w14:paraId="4BEFFA5E">
            <w:pPr>
              <w:pStyle w:val="230"/>
              <w:keepNext w:val="0"/>
              <w:keepLines w:val="0"/>
              <w:pageBreakBefore w:val="0"/>
              <w:kinsoku/>
              <w:wordWrap/>
              <w:overflowPunct/>
              <w:topLinePunct w:val="0"/>
              <w:bidi w:val="0"/>
              <w:adjustRightInd/>
              <w:snapToGrid/>
              <w:spacing w:line="520" w:lineRule="exact"/>
              <w:ind w:left="0" w:right="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（1）各部安装应牢固可靠，不允许有松动现象，各结构件和架体无明显变形。</w:t>
            </w:r>
          </w:p>
          <w:p w14:paraId="4C073F38">
            <w:pPr>
              <w:pStyle w:val="230"/>
              <w:keepNext w:val="0"/>
              <w:keepLines w:val="0"/>
              <w:pageBreakBefore w:val="0"/>
              <w:kinsoku/>
              <w:wordWrap/>
              <w:overflowPunct/>
              <w:topLinePunct w:val="0"/>
              <w:bidi w:val="0"/>
              <w:adjustRightInd/>
              <w:snapToGrid/>
              <w:spacing w:line="520" w:lineRule="exact"/>
              <w:ind w:left="0" w:right="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架体无倾斜现象。每标准节组合后外型尺寸（长、宽、高）的极限偏差为正负2mm。</w:t>
            </w:r>
          </w:p>
          <w:p w14:paraId="599B6D94">
            <w:pPr>
              <w:pStyle w:val="230"/>
              <w:keepNext w:val="0"/>
              <w:keepLines w:val="0"/>
              <w:pageBreakBefore w:val="0"/>
              <w:kinsoku/>
              <w:wordWrap/>
              <w:overflowPunct/>
              <w:topLinePunct w:val="0"/>
              <w:bidi w:val="0"/>
              <w:adjustRightInd/>
              <w:snapToGrid/>
              <w:spacing w:line="520" w:lineRule="exact"/>
              <w:ind w:left="0" w:right="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（2）标准架组装后，侧面板与中腰带的对缝处的间隙不大于2mm。</w:t>
            </w:r>
          </w:p>
          <w:p w14:paraId="43FCF5AA">
            <w:pPr>
              <w:pStyle w:val="230"/>
              <w:keepNext w:val="0"/>
              <w:keepLines w:val="0"/>
              <w:pageBreakBefore w:val="0"/>
              <w:kinsoku/>
              <w:wordWrap/>
              <w:overflowPunct/>
              <w:topLinePunct w:val="0"/>
              <w:bidi w:val="0"/>
              <w:adjustRightInd/>
              <w:snapToGrid/>
              <w:spacing w:line="520" w:lineRule="exact"/>
              <w:ind w:left="0" w:right="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（3）门缝间隙在工装保障的前提下，均匀一致在1-2mm 之间。</w:t>
            </w:r>
          </w:p>
          <w:p w14:paraId="2B1AC915">
            <w:pPr>
              <w:pStyle w:val="230"/>
              <w:keepNext w:val="0"/>
              <w:keepLines w:val="0"/>
              <w:pageBreakBefore w:val="0"/>
              <w:kinsoku/>
              <w:wordWrap/>
              <w:overflowPunct/>
              <w:topLinePunct w:val="0"/>
              <w:bidi w:val="0"/>
              <w:adjustRightInd/>
              <w:snapToGrid/>
              <w:spacing w:line="520" w:lineRule="exact"/>
              <w:ind w:left="0" w:right="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（4）导轨安装后，单根导轨的直线度不大于1.0mm/m，5m中不大于2.0mm，两根导轨水平高度偏差不大于1.0mm/m，两根导轨宽度之间的平行度偏差不大于</w:t>
            </w:r>
          </w:p>
          <w:p w14:paraId="0DAEF2D2">
            <w:pPr>
              <w:pStyle w:val="230"/>
              <w:keepNext w:val="0"/>
              <w:keepLines w:val="0"/>
              <w:pageBreakBefore w:val="0"/>
              <w:kinsoku/>
              <w:wordWrap/>
              <w:overflowPunct/>
              <w:topLinePunct w:val="0"/>
              <w:bidi w:val="0"/>
              <w:adjustRightInd/>
              <w:snapToGrid/>
              <w:spacing w:line="520" w:lineRule="exact"/>
              <w:ind w:left="0" w:right="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2.0mm/m，全长不大于 2.0mm，导轨对接处高低差不大于 0.3mm，架体移动时与轨道保持 90 度。</w:t>
            </w:r>
          </w:p>
          <w:p w14:paraId="7162E550">
            <w:pPr>
              <w:pStyle w:val="230"/>
              <w:keepNext w:val="0"/>
              <w:keepLines w:val="0"/>
              <w:pageBreakBefore w:val="0"/>
              <w:kinsoku/>
              <w:wordWrap/>
              <w:overflowPunct/>
              <w:topLinePunct w:val="0"/>
              <w:bidi w:val="0"/>
              <w:adjustRightInd/>
              <w:snapToGrid/>
              <w:spacing w:line="520" w:lineRule="exact"/>
              <w:ind w:left="0" w:right="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（5）架体平行度：正负在 1—2mm/列之间，架体垂直度：正负在 1—2mm/列之间，架体纵向同步度：正负在 1—2mm/列之间。</w:t>
            </w:r>
          </w:p>
        </w:tc>
        <w:tc>
          <w:tcPr>
            <w:tcW w:w="1068" w:type="dxa"/>
            <w:vMerge w:val="continue"/>
            <w:vAlign w:val="center"/>
          </w:tcPr>
          <w:p w14:paraId="50B72AB5">
            <w:pPr>
              <w:keepNext w:val="0"/>
              <w:keepLines w:val="0"/>
              <w:pageBreakBefore w:val="0"/>
              <w:kinsoku/>
              <w:wordWrap/>
              <w:overflowPunct/>
              <w:topLinePunct w:val="0"/>
              <w:bidi w:val="0"/>
              <w:adjustRightInd/>
              <w:snapToGrid/>
              <w:spacing w:line="520" w:lineRule="exact"/>
              <w:ind w:left="0" w:right="0" w:firstLine="0" w:firstLineChars="0"/>
              <w:jc w:val="left"/>
              <w:textAlignment w:val="auto"/>
              <w:rPr>
                <w:rFonts w:hint="eastAsia" w:ascii="宋体" w:hAnsi="宋体" w:eastAsia="宋体" w:cs="宋体"/>
                <w:sz w:val="24"/>
                <w:szCs w:val="24"/>
              </w:rPr>
            </w:pPr>
          </w:p>
        </w:tc>
        <w:tc>
          <w:tcPr>
            <w:tcW w:w="616" w:type="dxa"/>
            <w:vMerge w:val="continue"/>
            <w:vAlign w:val="center"/>
          </w:tcPr>
          <w:p w14:paraId="641EF5D3">
            <w:pPr>
              <w:keepNext w:val="0"/>
              <w:keepLines w:val="0"/>
              <w:pageBreakBefore w:val="0"/>
              <w:kinsoku/>
              <w:wordWrap/>
              <w:overflowPunct/>
              <w:topLinePunct w:val="0"/>
              <w:bidi w:val="0"/>
              <w:adjustRightInd/>
              <w:snapToGrid/>
              <w:spacing w:line="520" w:lineRule="exact"/>
              <w:ind w:left="0" w:right="0" w:firstLine="0" w:firstLineChars="0"/>
              <w:jc w:val="left"/>
              <w:textAlignment w:val="auto"/>
              <w:rPr>
                <w:rFonts w:hint="eastAsia" w:ascii="宋体" w:hAnsi="宋体" w:eastAsia="宋体" w:cs="宋体"/>
                <w:sz w:val="24"/>
                <w:szCs w:val="24"/>
              </w:rPr>
            </w:pPr>
          </w:p>
        </w:tc>
        <w:tc>
          <w:tcPr>
            <w:tcW w:w="617" w:type="dxa"/>
            <w:vMerge w:val="continue"/>
            <w:vAlign w:val="center"/>
          </w:tcPr>
          <w:p w14:paraId="42F45174">
            <w:pPr>
              <w:keepNext w:val="0"/>
              <w:keepLines w:val="0"/>
              <w:pageBreakBefore w:val="0"/>
              <w:kinsoku/>
              <w:wordWrap/>
              <w:overflowPunct/>
              <w:topLinePunct w:val="0"/>
              <w:bidi w:val="0"/>
              <w:adjustRightInd/>
              <w:snapToGrid/>
              <w:spacing w:line="520" w:lineRule="exact"/>
              <w:ind w:left="0" w:right="0" w:firstLine="0" w:firstLineChars="0"/>
              <w:jc w:val="left"/>
              <w:textAlignment w:val="auto"/>
              <w:rPr>
                <w:rFonts w:hint="eastAsia" w:ascii="宋体" w:hAnsi="宋体" w:eastAsia="宋体" w:cs="宋体"/>
                <w:sz w:val="24"/>
                <w:szCs w:val="24"/>
              </w:rPr>
            </w:pPr>
          </w:p>
        </w:tc>
      </w:tr>
      <w:tr w14:paraId="508D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1121" w:type="dxa"/>
            <w:vAlign w:val="center"/>
          </w:tcPr>
          <w:p w14:paraId="3E907A7C">
            <w:pPr>
              <w:keepNext w:val="0"/>
              <w:keepLines w:val="0"/>
              <w:pageBreakBefore w:val="0"/>
              <w:widowControl/>
              <w:kinsoku/>
              <w:wordWrap/>
              <w:overflowPunct/>
              <w:topLinePunct w:val="0"/>
              <w:bidi w:val="0"/>
              <w:adjustRightInd/>
              <w:snapToGrid/>
              <w:spacing w:line="52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color w:val="auto"/>
                <w:sz w:val="21"/>
                <w:szCs w:val="21"/>
              </w:rPr>
              <w:t>说明</w:t>
            </w:r>
          </w:p>
        </w:tc>
        <w:tc>
          <w:tcPr>
            <w:tcW w:w="8636" w:type="dxa"/>
            <w:gridSpan w:val="4"/>
          </w:tcPr>
          <w:p w14:paraId="42958597">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auto"/>
                <w:sz w:val="24"/>
                <w:szCs w:val="24"/>
              </w:rPr>
              <w:t xml:space="preserve">打“★”号条款为实质性条款，若有任何一条负偏离或不满足则导致投标（响应）无效。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打“▲”号条款为重要参数（如有），若有部分“▲”条款未响应或不满足，将根据评审要求影响其得分，但不作为无效投标（响应）条款。</w:t>
            </w:r>
          </w:p>
        </w:tc>
      </w:tr>
    </w:tbl>
    <w:p w14:paraId="157C9F1C">
      <w:pPr>
        <w:pStyle w:val="2"/>
        <w:pageBreakBefore w:val="0"/>
        <w:wordWrap/>
        <w:overflowPunct/>
        <w:topLinePunct w:val="0"/>
        <w:bidi w:val="0"/>
        <w:spacing w:line="520" w:lineRule="exact"/>
        <w:ind w:left="0" w:right="0" w:firstLine="480" w:firstLineChars="200"/>
        <w:rPr>
          <w:rFonts w:hint="eastAsia" w:ascii="宋体" w:hAnsi="宋体" w:eastAsia="宋体" w:cs="宋体"/>
          <w:sz w:val="24"/>
          <w:szCs w:val="24"/>
        </w:rPr>
      </w:pPr>
    </w:p>
    <w:p w14:paraId="3E3B1E30">
      <w:pPr>
        <w:pStyle w:val="2"/>
        <w:pageBreakBefore w:val="0"/>
        <w:wordWrap/>
        <w:overflowPunct/>
        <w:topLinePunct w:val="0"/>
        <w:bidi w:val="0"/>
        <w:spacing w:line="520" w:lineRule="exact"/>
        <w:ind w:left="0" w:right="0" w:firstLine="480" w:firstLineChars="200"/>
        <w:rPr>
          <w:rFonts w:hint="eastAsia" w:ascii="宋体" w:hAnsi="宋体" w:eastAsia="宋体" w:cs="宋体"/>
          <w:sz w:val="24"/>
          <w:szCs w:val="24"/>
        </w:rPr>
      </w:pPr>
    </w:p>
    <w:p w14:paraId="5437C4A5">
      <w:pPr>
        <w:rPr>
          <w:rFonts w:hint="eastAsia" w:ascii="宋体" w:hAnsi="宋体" w:eastAsia="宋体" w:cs="宋体"/>
          <w:sz w:val="24"/>
          <w:szCs w:val="24"/>
        </w:rPr>
      </w:pPr>
      <w:r>
        <w:rPr>
          <w:rFonts w:hint="eastAsia" w:ascii="宋体" w:hAnsi="宋体" w:eastAsia="宋体" w:cs="宋体"/>
          <w:sz w:val="24"/>
          <w:szCs w:val="24"/>
        </w:rPr>
        <w:br w:type="page"/>
      </w:r>
    </w:p>
    <w:p w14:paraId="4C8F912D">
      <w:pPr>
        <w:pStyle w:val="2"/>
        <w:pageBreakBefore w:val="0"/>
        <w:wordWrap/>
        <w:overflowPunct/>
        <w:topLinePunct w:val="0"/>
        <w:bidi w:val="0"/>
        <w:spacing w:line="520" w:lineRule="exact"/>
        <w:ind w:left="0" w:right="0" w:firstLine="482" w:firstLineChars="200"/>
        <w:rPr>
          <w:rFonts w:hint="eastAsia" w:ascii="宋体" w:hAnsi="宋体" w:eastAsia="宋体" w:cs="宋体"/>
          <w:b/>
          <w:bCs/>
          <w:sz w:val="24"/>
          <w:szCs w:val="24"/>
        </w:rPr>
      </w:pPr>
      <w:r>
        <w:rPr>
          <w:rFonts w:hint="eastAsia" w:ascii="宋体" w:hAnsi="宋体" w:eastAsia="宋体" w:cs="宋体"/>
          <w:b/>
          <w:bCs/>
          <w:sz w:val="24"/>
          <w:szCs w:val="24"/>
        </w:rPr>
        <w:t>平面</w:t>
      </w:r>
      <w:r>
        <w:rPr>
          <w:rFonts w:hint="eastAsia" w:ascii="宋体" w:hAnsi="宋体" w:eastAsia="宋体" w:cs="宋体"/>
          <w:b/>
          <w:bCs/>
          <w:sz w:val="24"/>
          <w:szCs w:val="24"/>
          <w:lang w:val="en-US" w:eastAsia="zh-CN"/>
        </w:rPr>
        <w:t>示</w:t>
      </w:r>
      <w:r>
        <w:rPr>
          <w:rFonts w:hint="eastAsia" w:ascii="宋体" w:hAnsi="宋体" w:eastAsia="宋体" w:cs="宋体"/>
          <w:b/>
          <w:bCs/>
          <w:sz w:val="24"/>
          <w:szCs w:val="24"/>
        </w:rPr>
        <w:t>意图：</w:t>
      </w:r>
    </w:p>
    <w:p w14:paraId="461F01B7">
      <w:pPr>
        <w:pageBreakBefore w:val="0"/>
        <w:wordWrap/>
        <w:overflowPunct/>
        <w:topLinePunct w:val="0"/>
        <w:bidi w:val="0"/>
        <w:spacing w:line="520" w:lineRule="exact"/>
        <w:ind w:right="0"/>
        <w:rPr>
          <w:rFonts w:hint="eastAsia" w:ascii="宋体" w:hAnsi="宋体" w:eastAsia="宋体" w:cs="宋体"/>
          <w:sz w:val="24"/>
          <w:szCs w:val="24"/>
        </w:rPr>
      </w:pPr>
      <w:r>
        <w:rPr>
          <w:rFonts w:hint="eastAsia" w:ascii="宋体" w:hAnsi="宋体" w:eastAsia="宋体" w:cs="宋体"/>
          <w:sz w:val="24"/>
          <w:szCs w:val="24"/>
        </w:rPr>
        <w:drawing>
          <wp:anchor distT="0" distB="0" distL="0" distR="0" simplePos="0" relativeHeight="251662336" behindDoc="0" locked="0" layoutInCell="1" allowOverlap="1">
            <wp:simplePos x="0" y="0"/>
            <wp:positionH relativeFrom="column">
              <wp:posOffset>109855</wp:posOffset>
            </wp:positionH>
            <wp:positionV relativeFrom="paragraph">
              <wp:posOffset>69850</wp:posOffset>
            </wp:positionV>
            <wp:extent cx="6048375" cy="5438775"/>
            <wp:effectExtent l="0" t="0" r="9525" b="9525"/>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4" cstate="print"/>
                    <a:srcRect/>
                    <a:stretch>
                      <a:fillRect/>
                    </a:stretch>
                  </pic:blipFill>
                  <pic:spPr>
                    <a:xfrm>
                      <a:off x="0" y="0"/>
                      <a:ext cx="6048375" cy="5438775"/>
                    </a:xfrm>
                    <a:prstGeom prst="rect">
                      <a:avLst/>
                    </a:prstGeom>
                    <a:noFill/>
                    <a:ln w="9525">
                      <a:noFill/>
                      <a:miter lim="800000"/>
                      <a:headEnd/>
                      <a:tailEnd/>
                    </a:ln>
                  </pic:spPr>
                </pic:pic>
              </a:graphicData>
            </a:graphic>
          </wp:anchor>
        </w:drawing>
      </w:r>
    </w:p>
    <w:p w14:paraId="3D303E3A">
      <w:pPr>
        <w:pStyle w:val="2"/>
        <w:pageBreakBefore w:val="0"/>
        <w:wordWrap/>
        <w:overflowPunct/>
        <w:topLinePunct w:val="0"/>
        <w:bidi w:val="0"/>
        <w:spacing w:line="520" w:lineRule="exact"/>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1.5 商务服务需求：</w:t>
      </w:r>
    </w:p>
    <w:p w14:paraId="650B1D4A">
      <w:pPr>
        <w:pageBreakBefore w:val="0"/>
        <w:wordWrap/>
        <w:overflowPunct/>
        <w:topLinePunct w:val="0"/>
        <w:bidi w:val="0"/>
        <w:spacing w:line="520" w:lineRule="exact"/>
        <w:ind w:left="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1.5.1本项目</w:t>
      </w:r>
      <w:r>
        <w:rPr>
          <w:rFonts w:hint="eastAsia" w:ascii="宋体" w:hAnsi="宋体" w:eastAsia="宋体" w:cs="宋体"/>
          <w:b/>
          <w:bCs/>
          <w:sz w:val="24"/>
          <w:szCs w:val="24"/>
          <w:lang w:val="en-US" w:eastAsia="zh-CN"/>
        </w:rPr>
        <w:t>交货期为30个日历天</w:t>
      </w:r>
      <w:r>
        <w:rPr>
          <w:rFonts w:hint="eastAsia" w:ascii="宋体" w:hAnsi="宋体" w:eastAsia="宋体" w:cs="宋体"/>
          <w:sz w:val="24"/>
          <w:szCs w:val="24"/>
          <w:lang w:val="en-US" w:eastAsia="zh-CN"/>
        </w:rPr>
        <w:t>（含密集架的安装和调试时间）；</w:t>
      </w:r>
    </w:p>
    <w:p w14:paraId="64008936">
      <w:pPr>
        <w:pageBreakBefore w:val="0"/>
        <w:wordWrap/>
        <w:overflowPunct/>
        <w:topLinePunct w:val="0"/>
        <w:bidi w:val="0"/>
        <w:spacing w:line="520" w:lineRule="exact"/>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lang w:val="en-US" w:eastAsia="zh-CN"/>
        </w:rPr>
        <w:t>2</w:t>
      </w:r>
      <w:r>
        <w:rPr>
          <w:rFonts w:hint="eastAsia" w:ascii="宋体" w:hAnsi="宋体" w:eastAsia="宋体" w:cs="宋体"/>
          <w:sz w:val="24"/>
          <w:szCs w:val="24"/>
        </w:rPr>
        <w:t>投标人所投</w:t>
      </w:r>
      <w:r>
        <w:rPr>
          <w:rFonts w:hint="eastAsia" w:ascii="宋体" w:hAnsi="宋体" w:eastAsia="宋体" w:cs="宋体"/>
          <w:sz w:val="24"/>
          <w:szCs w:val="24"/>
          <w:lang w:val="en-US" w:eastAsia="zh-CN"/>
        </w:rPr>
        <w:t>报</w:t>
      </w:r>
      <w:r>
        <w:rPr>
          <w:rFonts w:hint="eastAsia" w:ascii="宋体" w:hAnsi="宋体" w:eastAsia="宋体" w:cs="宋体"/>
          <w:sz w:val="24"/>
          <w:szCs w:val="24"/>
        </w:rPr>
        <w:t>的货物应当是一年内生产的、全新未使用的、无损坏的全新货物，各项技术指标完全符合国家有关质量检测、环保标准及产品出厂标准，货物的包装均应有良好的防湿、防锈、防潮、防雨、防腐及防碰撞的措施。凡由于包装不良造成的损失和由此产生的费用均由中标人承担。</w:t>
      </w:r>
    </w:p>
    <w:p w14:paraId="7B94AEAB">
      <w:pPr>
        <w:pageBreakBefore w:val="0"/>
        <w:wordWrap/>
        <w:overflowPunct/>
        <w:topLinePunct w:val="0"/>
        <w:bidi w:val="0"/>
        <w:spacing w:line="520" w:lineRule="exact"/>
        <w:ind w:left="0" w:right="0" w:firstLine="480" w:firstLineChars="200"/>
        <w:rPr>
          <w:rFonts w:hint="eastAsia" w:ascii="宋体" w:hAnsi="宋体" w:eastAsia="宋体" w:cs="宋体"/>
          <w:bCs/>
          <w:sz w:val="24"/>
          <w:szCs w:val="24"/>
        </w:rPr>
      </w:pPr>
      <w:r>
        <w:rPr>
          <w:rFonts w:hint="eastAsia" w:ascii="宋体" w:hAnsi="宋体" w:eastAsia="宋体" w:cs="宋体"/>
          <w:bCs/>
          <w:sz w:val="24"/>
          <w:szCs w:val="24"/>
        </w:rPr>
        <w:t>1.5.</w:t>
      </w:r>
      <w:r>
        <w:rPr>
          <w:rFonts w:hint="eastAsia" w:ascii="宋体" w:hAnsi="宋体" w:eastAsia="宋体" w:cs="宋体"/>
          <w:bCs/>
          <w:sz w:val="24"/>
          <w:szCs w:val="24"/>
          <w:lang w:val="en-US" w:eastAsia="zh-CN"/>
        </w:rPr>
        <w:t>3</w:t>
      </w:r>
      <w:r>
        <w:rPr>
          <w:rFonts w:hint="eastAsia" w:ascii="宋体" w:hAnsi="宋体" w:eastAsia="宋体" w:cs="宋体"/>
          <w:bCs/>
          <w:sz w:val="24"/>
          <w:szCs w:val="24"/>
        </w:rPr>
        <w:t xml:space="preserve">中标人负责将货物到现场过程中的全部运输，包括装卸车、货物现场的搬运。货物在安装调试验收合格前的保险由中标人负责，中标人负责其派出的现场人员的人生意外保险。 </w:t>
      </w:r>
    </w:p>
    <w:p w14:paraId="35CA9CCA">
      <w:pPr>
        <w:pageBreakBefore w:val="0"/>
        <w:wordWrap/>
        <w:overflowPunct/>
        <w:topLinePunct w:val="0"/>
        <w:bidi w:val="0"/>
        <w:spacing w:line="520" w:lineRule="exact"/>
        <w:ind w:left="0" w:right="0" w:firstLine="480" w:firstLineChars="200"/>
        <w:rPr>
          <w:rFonts w:hint="eastAsia" w:ascii="宋体" w:hAnsi="宋体" w:eastAsia="宋体" w:cs="宋体"/>
          <w:bCs/>
          <w:sz w:val="24"/>
          <w:szCs w:val="24"/>
        </w:rPr>
      </w:pPr>
      <w:r>
        <w:rPr>
          <w:rFonts w:hint="eastAsia" w:ascii="宋体" w:hAnsi="宋体" w:eastAsia="宋体" w:cs="宋体"/>
          <w:bCs/>
          <w:sz w:val="24"/>
          <w:szCs w:val="24"/>
        </w:rPr>
        <w:t>1.5.</w:t>
      </w:r>
      <w:r>
        <w:rPr>
          <w:rFonts w:hint="eastAsia" w:ascii="宋体" w:hAnsi="宋体" w:eastAsia="宋体" w:cs="宋体"/>
          <w:bCs/>
          <w:sz w:val="24"/>
          <w:szCs w:val="24"/>
          <w:lang w:val="en-US" w:eastAsia="zh-CN"/>
        </w:rPr>
        <w:t>4</w:t>
      </w:r>
      <w:r>
        <w:rPr>
          <w:rFonts w:hint="eastAsia" w:ascii="宋体" w:hAnsi="宋体" w:eastAsia="宋体" w:cs="宋体"/>
          <w:bCs/>
          <w:sz w:val="24"/>
          <w:szCs w:val="24"/>
        </w:rPr>
        <w:t>各种设备必须提供装箱清单，按装箱清单验收货物。</w:t>
      </w:r>
    </w:p>
    <w:p w14:paraId="085C0B66">
      <w:pPr>
        <w:pageBreakBefore w:val="0"/>
        <w:wordWrap/>
        <w:overflowPunct/>
        <w:topLinePunct w:val="0"/>
        <w:bidi w:val="0"/>
        <w:spacing w:line="520" w:lineRule="exact"/>
        <w:ind w:left="0" w:right="0" w:firstLine="480" w:firstLineChars="200"/>
        <w:rPr>
          <w:rFonts w:hint="eastAsia" w:ascii="宋体" w:hAnsi="宋体" w:eastAsia="宋体" w:cs="宋体"/>
          <w:bCs/>
          <w:sz w:val="24"/>
          <w:szCs w:val="24"/>
        </w:rPr>
      </w:pPr>
      <w:r>
        <w:rPr>
          <w:rFonts w:hint="eastAsia" w:ascii="宋体" w:hAnsi="宋体" w:eastAsia="宋体" w:cs="宋体"/>
          <w:bCs/>
          <w:sz w:val="24"/>
          <w:szCs w:val="24"/>
        </w:rPr>
        <w:t>1.5.</w:t>
      </w:r>
      <w:r>
        <w:rPr>
          <w:rFonts w:hint="eastAsia" w:ascii="宋体" w:hAnsi="宋体" w:eastAsia="宋体" w:cs="宋体"/>
          <w:bCs/>
          <w:sz w:val="24"/>
          <w:szCs w:val="24"/>
          <w:lang w:val="en-US" w:eastAsia="zh-CN"/>
        </w:rPr>
        <w:t>5</w:t>
      </w:r>
      <w:r>
        <w:rPr>
          <w:rFonts w:hint="eastAsia" w:ascii="宋体" w:hAnsi="宋体" w:eastAsia="宋体" w:cs="宋体"/>
          <w:bCs/>
          <w:sz w:val="24"/>
          <w:szCs w:val="24"/>
        </w:rPr>
        <w:t>货物在现场的保管由中标人负责，直至项目验收完毕。</w:t>
      </w:r>
    </w:p>
    <w:p w14:paraId="53709C7D">
      <w:pPr>
        <w:pageBreakBefore w:val="0"/>
        <w:wordWrap/>
        <w:overflowPunct/>
        <w:topLinePunct w:val="0"/>
        <w:bidi w:val="0"/>
        <w:spacing w:line="520" w:lineRule="exact"/>
        <w:ind w:left="0" w:right="0" w:firstLine="480" w:firstLineChars="200"/>
        <w:rPr>
          <w:rFonts w:hint="eastAsia" w:ascii="宋体" w:hAnsi="宋体" w:eastAsia="宋体" w:cs="宋体"/>
          <w:sz w:val="24"/>
          <w:szCs w:val="24"/>
        </w:rPr>
      </w:pPr>
      <w:r>
        <w:rPr>
          <w:rFonts w:hint="eastAsia" w:ascii="宋体" w:hAnsi="宋体" w:eastAsia="宋体" w:cs="宋体"/>
          <w:bCs/>
          <w:sz w:val="24"/>
          <w:szCs w:val="24"/>
        </w:rPr>
        <w:t>1.5.</w:t>
      </w:r>
      <w:r>
        <w:rPr>
          <w:rFonts w:hint="eastAsia" w:ascii="宋体" w:hAnsi="宋体" w:eastAsia="宋体" w:cs="宋体"/>
          <w:bCs/>
          <w:sz w:val="24"/>
          <w:szCs w:val="24"/>
          <w:lang w:val="en-US" w:eastAsia="zh-CN"/>
        </w:rPr>
        <w:t>6</w:t>
      </w:r>
      <w:r>
        <w:rPr>
          <w:rFonts w:hint="eastAsia" w:ascii="宋体" w:hAnsi="宋体" w:eastAsia="宋体" w:cs="宋体"/>
          <w:bCs/>
          <w:sz w:val="24"/>
          <w:szCs w:val="24"/>
        </w:rPr>
        <w:t>中标人负责组织专门的技术团队负责设备的安装和调试、对院内相关人员培训等工作完成后，联系本项目负责人，按医院的流程进行验收，此外验收后终身提供免费的技术指导服务。</w:t>
      </w:r>
    </w:p>
    <w:p w14:paraId="5872E417">
      <w:pPr>
        <w:pStyle w:val="2"/>
        <w:pageBreakBefore w:val="0"/>
        <w:wordWrap/>
        <w:overflowPunct/>
        <w:topLinePunct w:val="0"/>
        <w:bidi w:val="0"/>
        <w:spacing w:line="520" w:lineRule="exact"/>
        <w:ind w:left="0" w:right="0" w:firstLine="480" w:firstLineChars="200"/>
        <w:rPr>
          <w:rFonts w:hint="eastAsia" w:ascii="宋体" w:hAnsi="宋体" w:eastAsia="宋体" w:cs="宋体"/>
          <w:bCs/>
          <w:sz w:val="24"/>
          <w:szCs w:val="24"/>
        </w:rPr>
      </w:pPr>
      <w:r>
        <w:rPr>
          <w:rFonts w:hint="eastAsia" w:ascii="宋体" w:hAnsi="宋体" w:eastAsia="宋体" w:cs="宋体"/>
          <w:sz w:val="24"/>
          <w:szCs w:val="24"/>
        </w:rPr>
        <w:t>1.5.</w:t>
      </w:r>
      <w:r>
        <w:rPr>
          <w:rFonts w:hint="eastAsia" w:ascii="宋体" w:hAnsi="宋体" w:eastAsia="宋体" w:cs="宋体"/>
          <w:sz w:val="24"/>
          <w:szCs w:val="24"/>
          <w:lang w:val="en-US" w:eastAsia="zh-CN"/>
        </w:rPr>
        <w:t>7本项目质保期最少七年，</w:t>
      </w:r>
      <w:r>
        <w:rPr>
          <w:rFonts w:hint="eastAsia" w:ascii="宋体" w:hAnsi="宋体" w:eastAsia="宋体" w:cs="宋体"/>
          <w:bCs/>
          <w:sz w:val="24"/>
          <w:szCs w:val="24"/>
        </w:rPr>
        <w:t>质保期内如果产品出现故障（非人为损坏），供应商提供24小时免费上门检测维修服务</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质保期后应提供终身维护服务</w:t>
      </w:r>
      <w:r>
        <w:rPr>
          <w:rFonts w:hint="eastAsia" w:ascii="宋体" w:hAnsi="宋体" w:eastAsia="宋体" w:cs="宋体"/>
          <w:bCs/>
          <w:sz w:val="24"/>
          <w:szCs w:val="24"/>
          <w:lang w:eastAsia="zh-CN"/>
        </w:rPr>
        <w:t>，</w:t>
      </w:r>
      <w:r>
        <w:rPr>
          <w:rFonts w:hint="eastAsia" w:ascii="宋体" w:hAnsi="宋体" w:eastAsia="宋体" w:cs="宋体"/>
          <w:bCs/>
          <w:sz w:val="24"/>
          <w:szCs w:val="24"/>
        </w:rPr>
        <w:t>请在遴选响应文件中列明质保期内</w:t>
      </w:r>
      <w:r>
        <w:rPr>
          <w:rFonts w:hint="eastAsia" w:ascii="宋体" w:hAnsi="宋体" w:eastAsia="宋体" w:cs="宋体"/>
          <w:bCs/>
          <w:sz w:val="24"/>
          <w:szCs w:val="24"/>
          <w:lang w:val="en-US" w:eastAsia="zh-CN"/>
        </w:rPr>
        <w:t>和质保期</w:t>
      </w:r>
      <w:r>
        <w:rPr>
          <w:rFonts w:hint="eastAsia" w:ascii="宋体" w:hAnsi="宋体" w:eastAsia="宋体" w:cs="宋体"/>
          <w:bCs/>
          <w:sz w:val="24"/>
          <w:szCs w:val="24"/>
        </w:rPr>
        <w:t>外的详细服务方案。</w:t>
      </w:r>
    </w:p>
    <w:p w14:paraId="629015C8">
      <w:pPr>
        <w:pStyle w:val="6"/>
        <w:pageBreakBefore w:val="0"/>
        <w:wordWrap/>
        <w:overflowPunct/>
        <w:topLinePunct w:val="0"/>
        <w:bidi w:val="0"/>
        <w:spacing w:before="0" w:after="0" w:line="520" w:lineRule="exact"/>
        <w:ind w:left="0" w:right="0" w:firstLine="482" w:firstLineChars="200"/>
        <w:rPr>
          <w:rFonts w:hint="eastAsia" w:ascii="宋体" w:hAnsi="宋体" w:eastAsia="宋体" w:cs="宋体"/>
          <w:b/>
          <w:bCs/>
          <w:sz w:val="24"/>
          <w:szCs w:val="24"/>
        </w:rPr>
      </w:pPr>
      <w:r>
        <w:rPr>
          <w:rFonts w:hint="eastAsia" w:ascii="宋体" w:hAnsi="宋体" w:eastAsia="宋体" w:cs="宋体"/>
          <w:b/>
          <w:bCs/>
          <w:sz w:val="24"/>
          <w:szCs w:val="24"/>
        </w:rPr>
        <w:t>2．供应商资格要求</w:t>
      </w:r>
    </w:p>
    <w:p w14:paraId="2B252681">
      <w:pPr>
        <w:pageBreakBefore w:val="0"/>
        <w:wordWrap/>
        <w:overflowPunct/>
        <w:topLinePunct w:val="0"/>
        <w:bidi w:val="0"/>
        <w:spacing w:line="520" w:lineRule="exact"/>
        <w:ind w:left="0" w:right="0" w:firstLine="480" w:firstLineChars="200"/>
        <w:rPr>
          <w:rFonts w:hint="eastAsia" w:ascii="宋体" w:hAnsi="宋体" w:eastAsia="宋体" w:cs="宋体"/>
          <w:bCs/>
          <w:sz w:val="24"/>
          <w:szCs w:val="24"/>
        </w:rPr>
      </w:pPr>
      <w:r>
        <w:rPr>
          <w:rFonts w:hint="eastAsia" w:ascii="宋体" w:hAnsi="宋体" w:eastAsia="宋体" w:cs="宋体"/>
          <w:sz w:val="24"/>
          <w:szCs w:val="24"/>
        </w:rPr>
        <w:t>供应商</w:t>
      </w:r>
      <w:r>
        <w:rPr>
          <w:rFonts w:hint="eastAsia" w:ascii="宋体" w:hAnsi="宋体" w:eastAsia="宋体" w:cs="宋体"/>
          <w:bCs/>
          <w:sz w:val="24"/>
          <w:szCs w:val="24"/>
        </w:rPr>
        <w:t>必须满足以下资格要求中的所有条款，并按照相关规定递交资格证明文件。</w:t>
      </w:r>
    </w:p>
    <w:p w14:paraId="23AE7280">
      <w:pPr>
        <w:pageBreakBefore w:val="0"/>
        <w:wordWrap/>
        <w:overflowPunct/>
        <w:topLinePunct w:val="0"/>
        <w:bidi w:val="0"/>
        <w:spacing w:line="520" w:lineRule="exact"/>
        <w:ind w:left="0" w:right="0" w:firstLine="480" w:firstLineChars="200"/>
        <w:rPr>
          <w:rFonts w:hint="eastAsia" w:ascii="宋体" w:hAnsi="宋体" w:eastAsia="宋体" w:cs="宋体"/>
          <w:bCs/>
          <w:sz w:val="24"/>
          <w:szCs w:val="24"/>
        </w:rPr>
      </w:pPr>
      <w:r>
        <w:rPr>
          <w:rFonts w:hint="eastAsia" w:ascii="宋体" w:hAnsi="宋体" w:eastAsia="宋体" w:cs="宋体"/>
          <w:bCs/>
          <w:sz w:val="24"/>
          <w:szCs w:val="24"/>
        </w:rPr>
        <w:t>2.1须是中华人民共和国境内注册，具有独立法人资格，企业财务状况良好，依法缴纳税收和社会保障资金,具备承担遴选项目的能力；</w:t>
      </w:r>
    </w:p>
    <w:p w14:paraId="2D70DD92">
      <w:pPr>
        <w:pageBreakBefore w:val="0"/>
        <w:wordWrap/>
        <w:overflowPunct/>
        <w:topLinePunct w:val="0"/>
        <w:bidi w:val="0"/>
        <w:spacing w:line="520" w:lineRule="exact"/>
        <w:ind w:left="0" w:right="0" w:firstLine="480" w:firstLineChars="200"/>
        <w:rPr>
          <w:rFonts w:hint="eastAsia" w:ascii="宋体" w:hAnsi="宋体" w:eastAsia="宋体" w:cs="宋体"/>
          <w:bCs/>
          <w:sz w:val="24"/>
          <w:szCs w:val="24"/>
        </w:rPr>
      </w:pPr>
      <w:r>
        <w:rPr>
          <w:rFonts w:hint="eastAsia" w:ascii="宋体" w:hAnsi="宋体" w:eastAsia="宋体" w:cs="宋体"/>
          <w:bCs/>
          <w:sz w:val="24"/>
          <w:szCs w:val="24"/>
        </w:rPr>
        <w:t>2.2所提供的必须是遴选响应人合法生产或代理的符合国家质量标准、行业标准和专业标准等相关标准的合格产品，并能确保在合同有效期内按照合同中规定的品名、厂家、规格、价格、批号、有效期及时供货；</w:t>
      </w:r>
    </w:p>
    <w:p w14:paraId="5470E770">
      <w:pPr>
        <w:pageBreakBefore w:val="0"/>
        <w:wordWrap/>
        <w:overflowPunct/>
        <w:topLinePunct w:val="0"/>
        <w:bidi w:val="0"/>
        <w:spacing w:line="520" w:lineRule="exact"/>
        <w:ind w:left="0" w:right="0" w:firstLine="480" w:firstLineChars="200"/>
        <w:rPr>
          <w:rFonts w:hint="eastAsia" w:ascii="宋体" w:hAnsi="宋体" w:eastAsia="宋体" w:cs="宋体"/>
          <w:bCs/>
          <w:sz w:val="24"/>
          <w:szCs w:val="24"/>
        </w:rPr>
      </w:pPr>
      <w:r>
        <w:rPr>
          <w:rFonts w:hint="eastAsia" w:ascii="宋体" w:hAnsi="宋体" w:eastAsia="宋体" w:cs="宋体"/>
          <w:bCs/>
          <w:sz w:val="24"/>
          <w:szCs w:val="24"/>
        </w:rPr>
        <w:t>2.3生产厂家或销售商家须具有相应资质；</w:t>
      </w:r>
    </w:p>
    <w:p w14:paraId="0593F40B">
      <w:pPr>
        <w:pageBreakBefore w:val="0"/>
        <w:wordWrap/>
        <w:overflowPunct/>
        <w:topLinePunct w:val="0"/>
        <w:bidi w:val="0"/>
        <w:spacing w:line="520" w:lineRule="exact"/>
        <w:ind w:left="0" w:right="0" w:firstLine="480" w:firstLineChars="200"/>
        <w:rPr>
          <w:rFonts w:hint="eastAsia" w:ascii="宋体" w:hAnsi="宋体" w:eastAsia="宋体" w:cs="宋体"/>
          <w:bCs/>
          <w:sz w:val="24"/>
          <w:szCs w:val="24"/>
        </w:rPr>
      </w:pPr>
      <w:r>
        <w:rPr>
          <w:rFonts w:hint="eastAsia" w:ascii="宋体" w:hAnsi="宋体" w:eastAsia="宋体" w:cs="宋体"/>
          <w:bCs/>
          <w:sz w:val="24"/>
          <w:szCs w:val="24"/>
        </w:rPr>
        <w:t>2.4不得有商业贿赂和不正当欺诈行为。如遴选响应人被证实有以上行为，将被视为不合格；</w:t>
      </w:r>
    </w:p>
    <w:p w14:paraId="3F45E86E">
      <w:pPr>
        <w:pageBreakBefore w:val="0"/>
        <w:wordWrap/>
        <w:overflowPunct/>
        <w:topLinePunct w:val="0"/>
        <w:bidi w:val="0"/>
        <w:spacing w:line="520" w:lineRule="exact"/>
        <w:ind w:left="0" w:right="0" w:firstLine="480" w:firstLineChars="200"/>
        <w:rPr>
          <w:rFonts w:hint="eastAsia" w:ascii="宋体" w:hAnsi="宋体" w:eastAsia="宋体" w:cs="宋体"/>
          <w:bCs/>
          <w:sz w:val="24"/>
          <w:szCs w:val="24"/>
        </w:rPr>
      </w:pPr>
      <w:r>
        <w:rPr>
          <w:rFonts w:hint="eastAsia" w:ascii="宋体" w:hAnsi="宋体" w:eastAsia="宋体" w:cs="宋体"/>
          <w:bCs/>
          <w:sz w:val="24"/>
          <w:szCs w:val="24"/>
        </w:rPr>
        <w:t>2.5具有良好的商业信誉和完善的售后服务体系，并能承担遴选项目供货能力和服务。</w:t>
      </w:r>
    </w:p>
    <w:p w14:paraId="1135446C">
      <w:pPr>
        <w:pageBreakBefore w:val="0"/>
        <w:wordWrap/>
        <w:overflowPunct/>
        <w:topLinePunct w:val="0"/>
        <w:bidi w:val="0"/>
        <w:spacing w:line="520" w:lineRule="exact"/>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Cs/>
          <w:sz w:val="24"/>
          <w:szCs w:val="24"/>
        </w:rPr>
        <w:t>6遴选响应人应在“国家企业信用信息公示系统”（http://www.gsxt.gov.cn）网站中查询企业信用信息，不得存在被吊销营业执照或被吊销（撤销、注销、收缴）相应资质（许可、认证）类证书，列入严重违法失信企业名单并在处罚期限内，或存在其它影响遴选响应及履约能力的情形；在 “信用中国”（http://www.creditchina.gov.cn）网站中查询“失信被执行人” 、“重大税收违法案件当事人名单”、“政府采购不良行为记录”，中国政府采购网（www.ccgp.gov.cn）网站中查询“政府采购严重违法失信行为记录名单”，不得存在被列为失信被执行人的情形，并将查询结果网页打印并加盖公章；</w:t>
      </w:r>
    </w:p>
    <w:p w14:paraId="47CDA7F9">
      <w:pPr>
        <w:pageBreakBefore w:val="0"/>
        <w:wordWrap/>
        <w:overflowPunct/>
        <w:topLinePunct w:val="0"/>
        <w:bidi w:val="0"/>
        <w:spacing w:line="520" w:lineRule="exact"/>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2.7近三年内参加招投标活动在经营活动中没有重大违法违纪记录；</w:t>
      </w:r>
    </w:p>
    <w:p w14:paraId="76BCE41C">
      <w:pPr>
        <w:pageBreakBefore w:val="0"/>
        <w:wordWrap/>
        <w:overflowPunct/>
        <w:topLinePunct w:val="0"/>
        <w:bidi w:val="0"/>
        <w:spacing w:line="520" w:lineRule="exact"/>
        <w:ind w:left="0" w:right="0" w:firstLine="480" w:firstLineChars="200"/>
        <w:rPr>
          <w:rFonts w:hint="eastAsia" w:ascii="宋体" w:hAnsi="宋体" w:eastAsia="宋体" w:cs="宋体"/>
          <w:bCs/>
          <w:sz w:val="24"/>
          <w:szCs w:val="24"/>
        </w:rPr>
      </w:pPr>
      <w:r>
        <w:rPr>
          <w:rFonts w:hint="eastAsia" w:ascii="宋体" w:hAnsi="宋体" w:eastAsia="宋体" w:cs="宋体"/>
          <w:sz w:val="24"/>
          <w:szCs w:val="24"/>
        </w:rPr>
        <w:t>2.8如遴选响应人被政府有关部门通报列入黑名单的，禁止参加本项目遴选响应；</w:t>
      </w:r>
    </w:p>
    <w:p w14:paraId="3AD5B9F5">
      <w:pPr>
        <w:pageBreakBefore w:val="0"/>
        <w:wordWrap/>
        <w:overflowPunct/>
        <w:topLinePunct w:val="0"/>
        <w:bidi w:val="0"/>
        <w:spacing w:line="520" w:lineRule="exact"/>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2.9单位负责人为同一人或者存在控股、管理关系的不同单位，不得同时参加同一项目的遴选响应；</w:t>
      </w:r>
    </w:p>
    <w:p w14:paraId="190196F7">
      <w:pPr>
        <w:pageBreakBefore w:val="0"/>
        <w:wordWrap/>
        <w:overflowPunct/>
        <w:topLinePunct w:val="0"/>
        <w:bidi w:val="0"/>
        <w:spacing w:line="520" w:lineRule="exact"/>
        <w:ind w:left="0" w:right="0" w:firstLine="480" w:firstLineChars="200"/>
        <w:rPr>
          <w:rFonts w:hint="eastAsia" w:ascii="宋体" w:hAnsi="宋体" w:eastAsia="宋体" w:cs="宋体"/>
          <w:bCs/>
          <w:sz w:val="24"/>
          <w:szCs w:val="24"/>
        </w:rPr>
      </w:pPr>
      <w:r>
        <w:rPr>
          <w:rFonts w:hint="eastAsia" w:ascii="宋体" w:hAnsi="宋体" w:eastAsia="宋体" w:cs="宋体"/>
          <w:bCs/>
          <w:sz w:val="24"/>
          <w:szCs w:val="24"/>
        </w:rPr>
        <w:t>2.10遴选响应人经营行为必须符合国家法律、法规和有关规定。</w:t>
      </w:r>
    </w:p>
    <w:p w14:paraId="69472BB1">
      <w:pPr>
        <w:pageBreakBefore w:val="0"/>
        <w:widowControl/>
        <w:wordWrap/>
        <w:overflowPunct/>
        <w:topLinePunct w:val="0"/>
        <w:bidi w:val="0"/>
        <w:spacing w:line="520" w:lineRule="exact"/>
        <w:ind w:left="0" w:righ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2.11本次遴选不接受联合体遴选响应。</w:t>
      </w:r>
    </w:p>
    <w:p w14:paraId="1AB72E48">
      <w:pPr>
        <w:pageBreakBefore w:val="0"/>
        <w:widowControl/>
        <w:wordWrap/>
        <w:overflowPunct/>
        <w:topLinePunct w:val="0"/>
        <w:bidi w:val="0"/>
        <w:spacing w:line="520" w:lineRule="exact"/>
        <w:ind w:left="0" w:righ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2.12</w:t>
      </w:r>
      <w:r>
        <w:rPr>
          <w:rFonts w:hint="eastAsia" w:ascii="宋体" w:hAnsi="宋体" w:eastAsia="宋体" w:cs="宋体"/>
          <w:color w:val="000000"/>
          <w:kern w:val="0"/>
          <w:sz w:val="24"/>
          <w:szCs w:val="24"/>
        </w:rPr>
        <w:t>本次遴选未得到遴选人允许，不得转包、分包，否则取消</w:t>
      </w:r>
      <w:r>
        <w:rPr>
          <w:rFonts w:hint="eastAsia" w:ascii="宋体" w:hAnsi="宋体" w:eastAsia="宋体" w:cs="宋体"/>
          <w:kern w:val="0"/>
          <w:sz w:val="24"/>
          <w:szCs w:val="24"/>
        </w:rPr>
        <w:t>其响应、成交资格，并赔偿遴选人全部损失。</w:t>
      </w:r>
    </w:p>
    <w:p w14:paraId="74315346">
      <w:pPr>
        <w:pStyle w:val="2"/>
        <w:pageBreakBefore w:val="0"/>
        <w:wordWrap/>
        <w:overflowPunct/>
        <w:topLinePunct w:val="0"/>
        <w:bidi w:val="0"/>
        <w:spacing w:line="520" w:lineRule="exact"/>
        <w:ind w:left="0" w:right="0" w:firstLine="480" w:firstLineChars="200"/>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2.13遴选响应人须入驻广东政府采购智慧云平台。（登录“广东政府采购智慧云平台”找到入驻资格的页面进行截图）。</w:t>
      </w:r>
    </w:p>
    <w:p w14:paraId="64151DA8">
      <w:pPr>
        <w:pStyle w:val="6"/>
        <w:pageBreakBefore w:val="0"/>
        <w:wordWrap/>
        <w:overflowPunct/>
        <w:topLinePunct w:val="0"/>
        <w:bidi w:val="0"/>
        <w:spacing w:before="0" w:after="0" w:line="520" w:lineRule="exact"/>
        <w:ind w:left="0" w:right="0" w:firstLine="482" w:firstLineChars="200"/>
        <w:rPr>
          <w:rFonts w:hint="eastAsia" w:ascii="宋体" w:hAnsi="宋体" w:eastAsia="宋体" w:cs="宋体"/>
          <w:b/>
          <w:bCs/>
          <w:sz w:val="24"/>
          <w:szCs w:val="24"/>
        </w:rPr>
      </w:pPr>
      <w:bookmarkStart w:id="30" w:name="_Toc202872944"/>
      <w:bookmarkStart w:id="31" w:name="_Toc367082517"/>
      <w:bookmarkStart w:id="32" w:name="_Toc294013655"/>
      <w:bookmarkStart w:id="33" w:name="_Toc315688533"/>
      <w:r>
        <w:rPr>
          <w:rFonts w:hint="eastAsia" w:ascii="宋体" w:hAnsi="宋体" w:eastAsia="宋体" w:cs="宋体"/>
          <w:b/>
          <w:bCs/>
          <w:sz w:val="24"/>
          <w:szCs w:val="24"/>
        </w:rPr>
        <w:t>3．</w:t>
      </w:r>
      <w:bookmarkEnd w:id="30"/>
      <w:bookmarkEnd w:id="31"/>
      <w:bookmarkEnd w:id="32"/>
      <w:bookmarkEnd w:id="33"/>
      <w:r>
        <w:rPr>
          <w:rFonts w:hint="eastAsia" w:ascii="宋体" w:hAnsi="宋体" w:eastAsia="宋体" w:cs="宋体"/>
          <w:b/>
          <w:bCs/>
          <w:sz w:val="24"/>
          <w:szCs w:val="24"/>
        </w:rPr>
        <w:t>遴选响应资料</w:t>
      </w:r>
    </w:p>
    <w:p w14:paraId="64037298">
      <w:pPr>
        <w:pageBreakBefore w:val="0"/>
        <w:wordWrap/>
        <w:overflowPunct/>
        <w:topLinePunct w:val="0"/>
        <w:bidi w:val="0"/>
        <w:spacing w:line="520" w:lineRule="exact"/>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3.1开平市中心医院病案密集架采购项目报名表</w:t>
      </w:r>
      <w:r>
        <w:rPr>
          <w:rFonts w:hint="eastAsia" w:ascii="宋体" w:hAnsi="宋体" w:eastAsia="宋体" w:cs="宋体"/>
          <w:b/>
          <w:bCs w:val="0"/>
          <w:sz w:val="24"/>
          <w:lang w:eastAsia="zh-CN"/>
        </w:rPr>
        <w:t>（</w:t>
      </w:r>
      <w:r>
        <w:rPr>
          <w:rFonts w:hint="eastAsia" w:ascii="宋体" w:hAnsi="宋体" w:eastAsia="宋体" w:cs="宋体"/>
          <w:b/>
          <w:bCs w:val="0"/>
          <w:sz w:val="24"/>
          <w:lang w:val="en-US" w:eastAsia="zh-CN"/>
        </w:rPr>
        <w:t>报名资料与遴选文件一齐提交即可</w:t>
      </w:r>
      <w:r>
        <w:rPr>
          <w:rFonts w:hint="eastAsia" w:ascii="宋体" w:hAnsi="宋体" w:eastAsia="宋体" w:cs="宋体"/>
          <w:b/>
          <w:bCs w:val="0"/>
          <w:sz w:val="24"/>
          <w:lang w:eastAsia="zh-CN"/>
        </w:rPr>
        <w:t>）</w:t>
      </w:r>
      <w:r>
        <w:rPr>
          <w:rFonts w:hint="eastAsia" w:ascii="宋体" w:hAnsi="宋体" w:eastAsia="宋体" w:cs="宋体"/>
          <w:sz w:val="24"/>
          <w:szCs w:val="24"/>
        </w:rPr>
        <w:t>；</w:t>
      </w:r>
    </w:p>
    <w:p w14:paraId="0DEAC2B1">
      <w:pPr>
        <w:pageBreakBefore w:val="0"/>
        <w:wordWrap/>
        <w:overflowPunct/>
        <w:topLinePunct w:val="0"/>
        <w:bidi w:val="0"/>
        <w:spacing w:line="520" w:lineRule="exact"/>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3.2遴选响应文件（</w:t>
      </w:r>
      <w:r>
        <w:rPr>
          <w:rFonts w:hint="eastAsia" w:ascii="宋体" w:hAnsi="宋体" w:eastAsia="宋体" w:cs="宋体"/>
          <w:b/>
          <w:sz w:val="24"/>
          <w:szCs w:val="24"/>
        </w:rPr>
        <w:t>一正</w:t>
      </w:r>
      <w:r>
        <w:rPr>
          <w:rFonts w:hint="eastAsia" w:ascii="宋体" w:hAnsi="宋体" w:eastAsia="宋体" w:cs="宋体"/>
          <w:b/>
          <w:sz w:val="24"/>
          <w:szCs w:val="24"/>
          <w:lang w:val="en-US" w:eastAsia="zh-CN"/>
        </w:rPr>
        <w:t>两</w:t>
      </w:r>
      <w:r>
        <w:rPr>
          <w:rFonts w:hint="eastAsia" w:ascii="宋体" w:hAnsi="宋体" w:eastAsia="宋体" w:cs="宋体"/>
          <w:b/>
          <w:sz w:val="24"/>
          <w:szCs w:val="24"/>
        </w:rPr>
        <w:t>副</w:t>
      </w:r>
      <w:r>
        <w:rPr>
          <w:rFonts w:hint="eastAsia" w:ascii="宋体" w:hAnsi="宋体" w:eastAsia="宋体" w:cs="宋体"/>
          <w:sz w:val="24"/>
          <w:szCs w:val="24"/>
        </w:rPr>
        <w:t>）</w:t>
      </w:r>
      <w:r>
        <w:rPr>
          <w:rFonts w:hint="eastAsia" w:ascii="宋体" w:hAnsi="宋体" w:eastAsia="宋体" w:cs="宋体"/>
          <w:b/>
          <w:sz w:val="24"/>
          <w:szCs w:val="24"/>
        </w:rPr>
        <w:t>,</w:t>
      </w:r>
      <w:r>
        <w:rPr>
          <w:rFonts w:hint="eastAsia" w:ascii="宋体" w:hAnsi="宋体" w:eastAsia="宋体" w:cs="宋体"/>
          <w:sz w:val="24"/>
          <w:szCs w:val="24"/>
        </w:rPr>
        <w:t xml:space="preserve"> 正本单独密封，所有副本可一起密封，所有密封封皮上注明产品名称及遴选响应人名称，并加盖骑缝章</w:t>
      </w:r>
    </w:p>
    <w:p w14:paraId="72ED6B05">
      <w:pPr>
        <w:pageBreakBefore w:val="0"/>
        <w:wordWrap/>
        <w:overflowPunct/>
        <w:topLinePunct w:val="0"/>
        <w:bidi w:val="0"/>
        <w:spacing w:line="520" w:lineRule="exact"/>
        <w:ind w:left="0" w:right="0" w:firstLine="480" w:firstLineChars="200"/>
        <w:rPr>
          <w:rFonts w:hint="eastAsia" w:ascii="宋体" w:hAnsi="宋体" w:eastAsia="宋体" w:cs="宋体"/>
          <w:color w:val="000000"/>
          <w:sz w:val="24"/>
          <w:szCs w:val="24"/>
        </w:rPr>
      </w:pPr>
      <w:r>
        <w:rPr>
          <w:rFonts w:hint="eastAsia" w:ascii="宋体" w:hAnsi="宋体" w:eastAsia="宋体" w:cs="宋体"/>
          <w:sz w:val="24"/>
          <w:szCs w:val="24"/>
        </w:rPr>
        <w:t>以上资料准备完整的供应商方可参加，遴选响应文件和报名表获取方式：本院网站下载。</w:t>
      </w:r>
    </w:p>
    <w:p w14:paraId="2DA13A8A">
      <w:pPr>
        <w:pStyle w:val="2"/>
        <w:pageBreakBefore w:val="0"/>
        <w:wordWrap/>
        <w:overflowPunct/>
        <w:topLinePunct w:val="0"/>
        <w:bidi w:val="0"/>
        <w:spacing w:line="520" w:lineRule="exact"/>
        <w:ind w:left="0" w:right="0" w:firstLine="482" w:firstLineChars="200"/>
        <w:rPr>
          <w:rFonts w:hint="eastAsia" w:ascii="宋体" w:hAnsi="宋体" w:eastAsia="宋体" w:cs="宋体"/>
          <w:b/>
          <w:bCs/>
          <w:sz w:val="24"/>
          <w:szCs w:val="24"/>
        </w:rPr>
      </w:pPr>
      <w:r>
        <w:rPr>
          <w:rFonts w:hint="eastAsia" w:ascii="宋体" w:hAnsi="宋体" w:eastAsia="宋体" w:cs="宋体"/>
          <w:b/>
          <w:bCs/>
          <w:sz w:val="24"/>
          <w:szCs w:val="24"/>
        </w:rPr>
        <w:t>4.资料递交时间、地点、</w:t>
      </w:r>
      <w:r>
        <w:rPr>
          <w:rFonts w:hint="eastAsia" w:ascii="宋体" w:hAnsi="宋体" w:eastAsia="宋体" w:cs="宋体"/>
          <w:b/>
          <w:sz w:val="24"/>
          <w:szCs w:val="24"/>
        </w:rPr>
        <w:t>报价方式</w:t>
      </w:r>
      <w:r>
        <w:rPr>
          <w:rFonts w:hint="eastAsia" w:ascii="宋体" w:hAnsi="宋体" w:eastAsia="宋体" w:cs="宋体"/>
          <w:b/>
          <w:bCs/>
          <w:sz w:val="24"/>
          <w:szCs w:val="24"/>
        </w:rPr>
        <w:t>及</w:t>
      </w:r>
      <w:r>
        <w:rPr>
          <w:rFonts w:hint="eastAsia" w:ascii="宋体" w:hAnsi="宋体" w:eastAsia="宋体" w:cs="宋体"/>
          <w:b/>
          <w:color w:val="000000"/>
          <w:sz w:val="24"/>
          <w:szCs w:val="24"/>
        </w:rPr>
        <w:t>评审办法</w:t>
      </w:r>
      <w:r>
        <w:rPr>
          <w:rFonts w:hint="eastAsia" w:ascii="宋体" w:hAnsi="宋体" w:eastAsia="宋体" w:cs="宋体"/>
          <w:b/>
          <w:bCs/>
          <w:sz w:val="24"/>
          <w:szCs w:val="24"/>
        </w:rPr>
        <w:t>：</w:t>
      </w:r>
    </w:p>
    <w:p w14:paraId="782F568F">
      <w:pPr>
        <w:pStyle w:val="2"/>
        <w:pageBreakBefore w:val="0"/>
        <w:wordWrap/>
        <w:overflowPunct/>
        <w:topLinePunct w:val="0"/>
        <w:bidi w:val="0"/>
        <w:spacing w:line="520" w:lineRule="exact"/>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4.1</w:t>
      </w:r>
      <w:r>
        <w:rPr>
          <w:rFonts w:hint="eastAsia" w:ascii="宋体" w:hAnsi="宋体" w:eastAsia="宋体" w:cs="宋体"/>
          <w:sz w:val="24"/>
          <w:szCs w:val="24"/>
          <w:highlight w:val="none"/>
        </w:rPr>
        <w:t>时间:2025年</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29</w:t>
      </w:r>
      <w:r>
        <w:rPr>
          <w:rFonts w:hint="eastAsia" w:ascii="宋体" w:hAnsi="宋体" w:eastAsia="宋体" w:cs="宋体"/>
          <w:sz w:val="24"/>
          <w:szCs w:val="24"/>
          <w:highlight w:val="none"/>
        </w:rPr>
        <w:t>日-2025年</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日</w:t>
      </w:r>
    </w:p>
    <w:p w14:paraId="29588A07">
      <w:pPr>
        <w:pageBreakBefore w:val="0"/>
        <w:wordWrap/>
        <w:overflowPunct/>
        <w:topLinePunct w:val="0"/>
        <w:bidi w:val="0"/>
        <w:spacing w:line="520" w:lineRule="exact"/>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（工作日上午8：30——11:30，下午2:00——5:30）</w:t>
      </w:r>
    </w:p>
    <w:p w14:paraId="6F59160A">
      <w:pPr>
        <w:pageBreakBefore w:val="0"/>
        <w:wordWrap/>
        <w:overflowPunct/>
        <w:topLinePunct w:val="0"/>
        <w:bidi w:val="0"/>
        <w:spacing w:line="520" w:lineRule="exact"/>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4.2地点：广东省开平市长沙街道办事处三江A7区，开平市中心医院张襯</w:t>
      </w:r>
      <w:r>
        <w:rPr>
          <w:rFonts w:hint="eastAsia" w:ascii="宋体" w:hAnsi="宋体" w:eastAsia="宋体" w:cs="宋体"/>
          <w:sz w:val="24"/>
          <w:szCs w:val="24"/>
          <w:lang w:val="en-US" w:eastAsia="zh-CN"/>
        </w:rPr>
        <w:t>大</w:t>
      </w:r>
      <w:r>
        <w:rPr>
          <w:rFonts w:hint="eastAsia" w:ascii="宋体" w:hAnsi="宋体" w:eastAsia="宋体" w:cs="宋体"/>
          <w:sz w:val="24"/>
          <w:szCs w:val="24"/>
        </w:rPr>
        <w:t>楼后勤股</w:t>
      </w:r>
    </w:p>
    <w:p w14:paraId="2147A530">
      <w:pPr>
        <w:pStyle w:val="2"/>
        <w:pageBreakBefore w:val="0"/>
        <w:wordWrap/>
        <w:overflowPunct/>
        <w:topLinePunct w:val="0"/>
        <w:bidi w:val="0"/>
        <w:spacing w:line="520" w:lineRule="exact"/>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（邮寄收件人：</w:t>
      </w:r>
      <w:r>
        <w:rPr>
          <w:rFonts w:hint="eastAsia" w:ascii="宋体" w:hAnsi="宋体" w:eastAsia="宋体" w:cs="宋体"/>
          <w:color w:val="000000"/>
          <w:sz w:val="24"/>
          <w:szCs w:val="24"/>
        </w:rPr>
        <w:t>龚小姐，电话：15917318304</w:t>
      </w:r>
      <w:r>
        <w:rPr>
          <w:rFonts w:hint="eastAsia" w:ascii="宋体" w:hAnsi="宋体" w:eastAsia="宋体" w:cs="宋体"/>
          <w:sz w:val="24"/>
          <w:szCs w:val="24"/>
        </w:rPr>
        <w:t>）</w:t>
      </w:r>
    </w:p>
    <w:p w14:paraId="12C8D32C">
      <w:pPr>
        <w:pageBreakBefore w:val="0"/>
        <w:wordWrap/>
        <w:overflowPunct/>
        <w:topLinePunct w:val="0"/>
        <w:bidi w:val="0"/>
        <w:spacing w:line="520" w:lineRule="exact"/>
        <w:ind w:left="0" w:right="0" w:firstLine="480" w:firstLineChars="200"/>
        <w:rPr>
          <w:rFonts w:hint="eastAsia" w:ascii="宋体" w:hAnsi="宋体" w:eastAsia="宋体" w:cs="宋体"/>
          <w:kern w:val="0"/>
          <w:sz w:val="24"/>
          <w:szCs w:val="24"/>
          <w:highlight w:val="yellow"/>
        </w:rPr>
      </w:pPr>
      <w:r>
        <w:rPr>
          <w:rFonts w:hint="eastAsia" w:ascii="宋体" w:hAnsi="宋体" w:eastAsia="宋体" w:cs="宋体"/>
          <w:sz w:val="24"/>
          <w:szCs w:val="24"/>
        </w:rPr>
        <w:t>4.3报价方式：</w:t>
      </w:r>
    </w:p>
    <w:p w14:paraId="74EFB99F">
      <w:pPr>
        <w:pageBreakBefore w:val="0"/>
        <w:widowControl/>
        <w:wordWrap/>
        <w:overflowPunct/>
        <w:topLinePunct w:val="0"/>
        <w:bidi w:val="0"/>
        <w:spacing w:line="520" w:lineRule="exact"/>
        <w:ind w:left="0" w:right="0" w:firstLine="480" w:firstLineChars="200"/>
        <w:jc w:val="left"/>
        <w:rPr>
          <w:rFonts w:hint="eastAsia" w:ascii="宋体" w:hAnsi="宋体" w:eastAsia="宋体" w:cs="宋体"/>
          <w:color w:val="FF0000"/>
          <w:sz w:val="24"/>
          <w:szCs w:val="24"/>
        </w:rPr>
      </w:pPr>
      <w:r>
        <w:rPr>
          <w:rFonts w:hint="eastAsia" w:ascii="宋体" w:hAnsi="宋体" w:eastAsia="宋体" w:cs="宋体"/>
          <w:kern w:val="0"/>
          <w:sz w:val="24"/>
          <w:szCs w:val="24"/>
        </w:rPr>
        <w:t>遴选响应人应根据遴选文件的要求进行一次性报价，遴选人不再支付因遴选响应人漏项或是填写错误而增加的任何费用</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总价包含装卸费、保险费、人工费、安装费、材料费、税金等一切费用。</w:t>
      </w:r>
    </w:p>
    <w:p w14:paraId="44D6AA4D">
      <w:pPr>
        <w:pageBreakBefore w:val="0"/>
        <w:wordWrap/>
        <w:overflowPunct/>
        <w:topLinePunct w:val="0"/>
        <w:bidi w:val="0"/>
        <w:spacing w:line="520" w:lineRule="exact"/>
        <w:ind w:left="0" w:right="0" w:firstLine="480" w:firstLineChars="200"/>
        <w:rPr>
          <w:rFonts w:hint="eastAsia" w:ascii="宋体" w:hAnsi="宋体" w:eastAsia="宋体" w:cs="宋体"/>
          <w:b/>
          <w:sz w:val="24"/>
          <w:szCs w:val="24"/>
        </w:rPr>
      </w:pPr>
      <w:r>
        <w:rPr>
          <w:rFonts w:hint="eastAsia" w:ascii="宋体" w:hAnsi="宋体" w:eastAsia="宋体" w:cs="宋体"/>
          <w:sz w:val="24"/>
          <w:szCs w:val="24"/>
        </w:rPr>
        <w:t>4.4</w:t>
      </w:r>
      <w:r>
        <w:rPr>
          <w:rFonts w:hint="eastAsia" w:ascii="宋体" w:hAnsi="宋体" w:eastAsia="宋体" w:cs="宋体"/>
          <w:color w:val="000000"/>
          <w:sz w:val="24"/>
          <w:szCs w:val="24"/>
        </w:rPr>
        <w:t>评审办法：综合评分法</w:t>
      </w:r>
    </w:p>
    <w:p w14:paraId="6E774612">
      <w:pPr>
        <w:pStyle w:val="226"/>
        <w:pageBreakBefore w:val="0"/>
        <w:wordWrap/>
        <w:overflowPunct/>
        <w:topLinePunct w:val="0"/>
        <w:bidi w:val="0"/>
        <w:spacing w:line="520" w:lineRule="exact"/>
        <w:ind w:left="0" w:right="0" w:firstLine="482" w:firstLineChars="200"/>
        <w:outlineLvl w:val="3"/>
        <w:rPr>
          <w:rFonts w:hint="eastAsia" w:ascii="宋体" w:hAnsi="宋体" w:eastAsia="宋体" w:cs="宋体"/>
          <w:sz w:val="24"/>
          <w:szCs w:val="24"/>
        </w:rPr>
      </w:pPr>
      <w:r>
        <w:rPr>
          <w:rFonts w:hint="eastAsia" w:ascii="宋体" w:hAnsi="宋体" w:eastAsia="宋体" w:cs="宋体"/>
          <w:b/>
          <w:sz w:val="24"/>
          <w:szCs w:val="24"/>
        </w:rPr>
        <w:t>详细评审</w:t>
      </w:r>
    </w:p>
    <w:tbl>
      <w:tblPr>
        <w:tblStyle w:val="42"/>
        <w:tblW w:w="5000"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3"/>
        <w:gridCol w:w="2017"/>
        <w:gridCol w:w="6547"/>
      </w:tblGrid>
      <w:tr w14:paraId="0EB45A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93" w:type="dxa"/>
            <w:vAlign w:val="top"/>
          </w:tcPr>
          <w:p w14:paraId="2696152A">
            <w:pPr>
              <w:pStyle w:val="226"/>
              <w:keepNext w:val="0"/>
              <w:keepLines w:val="0"/>
              <w:pageBreakBefore w:val="0"/>
              <w:widowControl/>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评审因素</w:t>
            </w:r>
          </w:p>
        </w:tc>
        <w:tc>
          <w:tcPr>
            <w:tcW w:w="8564" w:type="dxa"/>
            <w:gridSpan w:val="2"/>
            <w:vAlign w:val="center"/>
          </w:tcPr>
          <w:p w14:paraId="5F487333">
            <w:pPr>
              <w:pStyle w:val="226"/>
              <w:keepNext w:val="0"/>
              <w:keepLines w:val="0"/>
              <w:pageBreakBefore w:val="0"/>
              <w:widowControl/>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评审标准</w:t>
            </w:r>
          </w:p>
        </w:tc>
      </w:tr>
      <w:tr w14:paraId="6AA4CC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93" w:type="dxa"/>
            <w:vAlign w:val="top"/>
          </w:tcPr>
          <w:p w14:paraId="40BA021F">
            <w:pPr>
              <w:pStyle w:val="226"/>
              <w:keepNext w:val="0"/>
              <w:keepLines w:val="0"/>
              <w:pageBreakBefore w:val="0"/>
              <w:widowControl/>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分值构成</w:t>
            </w:r>
          </w:p>
        </w:tc>
        <w:tc>
          <w:tcPr>
            <w:tcW w:w="8564" w:type="dxa"/>
            <w:gridSpan w:val="2"/>
            <w:vAlign w:val="center"/>
          </w:tcPr>
          <w:p w14:paraId="34E05F40">
            <w:pPr>
              <w:pStyle w:val="226"/>
              <w:keepNext w:val="0"/>
              <w:keepLines w:val="0"/>
              <w:pageBreakBefore w:val="0"/>
              <w:widowControl/>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商务部分</w:t>
            </w:r>
            <w:r>
              <w:rPr>
                <w:rFonts w:hint="eastAsia" w:ascii="宋体" w:hAnsi="宋体" w:eastAsia="宋体" w:cs="宋体"/>
                <w:kern w:val="2"/>
                <w:sz w:val="24"/>
                <w:szCs w:val="24"/>
                <w:lang w:val="en-US" w:eastAsia="zh-CN"/>
              </w:rPr>
              <w:t>20</w:t>
            </w:r>
            <w:r>
              <w:rPr>
                <w:rFonts w:hint="eastAsia" w:ascii="宋体" w:hAnsi="宋体" w:eastAsia="宋体" w:cs="宋体"/>
                <w:kern w:val="2"/>
                <w:sz w:val="24"/>
                <w:szCs w:val="24"/>
              </w:rPr>
              <w:t>分</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技术部分5</w:t>
            </w:r>
            <w:r>
              <w:rPr>
                <w:rFonts w:hint="eastAsia" w:ascii="宋体" w:hAnsi="宋体" w:eastAsia="宋体" w:cs="宋体"/>
                <w:kern w:val="2"/>
                <w:sz w:val="24"/>
                <w:szCs w:val="24"/>
                <w:lang w:val="en-US" w:eastAsia="zh-CN"/>
              </w:rPr>
              <w:t>0</w:t>
            </w:r>
            <w:r>
              <w:rPr>
                <w:rFonts w:hint="eastAsia" w:ascii="宋体" w:hAnsi="宋体" w:eastAsia="宋体" w:cs="宋体"/>
                <w:kern w:val="2"/>
                <w:sz w:val="24"/>
                <w:szCs w:val="24"/>
              </w:rPr>
              <w:t>分</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报价得分30分</w:t>
            </w:r>
          </w:p>
        </w:tc>
      </w:tr>
      <w:tr w14:paraId="770AD1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93" w:type="dxa"/>
            <w:vMerge w:val="restart"/>
            <w:vAlign w:val="center"/>
          </w:tcPr>
          <w:p w14:paraId="6BC638E1">
            <w:pPr>
              <w:pStyle w:val="226"/>
              <w:keepNext w:val="0"/>
              <w:keepLines w:val="0"/>
              <w:pageBreakBefore w:val="0"/>
              <w:widowControl/>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技术部分</w:t>
            </w:r>
          </w:p>
        </w:tc>
        <w:tc>
          <w:tcPr>
            <w:tcW w:w="2017" w:type="dxa"/>
            <w:vAlign w:val="center"/>
          </w:tcPr>
          <w:p w14:paraId="4CF08EF3">
            <w:pPr>
              <w:pStyle w:val="226"/>
              <w:keepNext w:val="0"/>
              <w:keepLines w:val="0"/>
              <w:pageBreakBefore w:val="0"/>
              <w:widowControl/>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产品的技术条款响应情况 (</w:t>
            </w:r>
            <w:r>
              <w:rPr>
                <w:rFonts w:hint="eastAsia" w:ascii="宋体" w:hAnsi="宋体" w:eastAsia="宋体" w:cs="宋体"/>
                <w:kern w:val="2"/>
                <w:sz w:val="24"/>
                <w:szCs w:val="24"/>
                <w:lang w:val="en-US" w:eastAsia="zh-CN"/>
              </w:rPr>
              <w:t>27</w:t>
            </w:r>
            <w:r>
              <w:rPr>
                <w:rFonts w:hint="eastAsia" w:ascii="宋体" w:hAnsi="宋体" w:eastAsia="宋体" w:cs="宋体"/>
                <w:kern w:val="2"/>
                <w:sz w:val="24"/>
                <w:szCs w:val="24"/>
              </w:rPr>
              <w:t>分)</w:t>
            </w:r>
          </w:p>
        </w:tc>
        <w:tc>
          <w:tcPr>
            <w:tcW w:w="6547" w:type="dxa"/>
            <w:vAlign w:val="top"/>
          </w:tcPr>
          <w:p w14:paraId="7A5D2722">
            <w:pPr>
              <w:pStyle w:val="226"/>
              <w:keepNext w:val="0"/>
              <w:keepLines w:val="0"/>
              <w:pageBreakBefore w:val="0"/>
              <w:widowControl/>
              <w:kinsoku/>
              <w:wordWrap/>
              <w:overflowPunct/>
              <w:topLinePunct w:val="0"/>
              <w:autoSpaceDE/>
              <w:autoSpaceDN/>
              <w:bidi w:val="0"/>
              <w:adjustRightInd/>
              <w:snapToGrid/>
              <w:spacing w:line="520" w:lineRule="exact"/>
              <w:ind w:left="0" w:right="0" w:firstLine="0" w:firstLineChars="0"/>
              <w:textAlignment w:val="auto"/>
              <w:rPr>
                <w:rFonts w:hint="eastAsia" w:ascii="宋体" w:hAnsi="宋体" w:eastAsia="宋体" w:cs="宋体"/>
                <w:kern w:val="2"/>
                <w:sz w:val="24"/>
                <w:szCs w:val="24"/>
              </w:rPr>
            </w:pPr>
            <w:r>
              <w:rPr>
                <w:rFonts w:hint="eastAsia" w:ascii="宋体" w:hAnsi="宋体" w:eastAsia="宋体" w:cs="宋体"/>
                <w:kern w:val="2"/>
                <w:sz w:val="24"/>
                <w:szCs w:val="24"/>
              </w:rPr>
              <w:t>根据投标人所投报产品的技术条款对招标文件采购需求“技术标准与要求”的响应情况进行评审。 1、所投报产品技术条款完全满足招标文件采购需求“技术标准与要求”中带“▲”的参数要求（</w:t>
            </w: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rPr>
              <w:t>项），每项得3分；不满足或未响应招标文件要求的不得分。最高得1</w:t>
            </w: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rPr>
              <w:t>分。</w:t>
            </w:r>
          </w:p>
          <w:p w14:paraId="72756995">
            <w:pPr>
              <w:pStyle w:val="226"/>
              <w:keepNext w:val="0"/>
              <w:keepLines w:val="0"/>
              <w:pageBreakBefore w:val="0"/>
              <w:widowControl/>
              <w:kinsoku/>
              <w:wordWrap/>
              <w:overflowPunct/>
              <w:topLinePunct w:val="0"/>
              <w:autoSpaceDE/>
              <w:autoSpaceDN/>
              <w:bidi w:val="0"/>
              <w:adjustRightInd/>
              <w:snapToGrid/>
              <w:spacing w:line="520" w:lineRule="exact"/>
              <w:ind w:left="0" w:right="0" w:firstLine="0" w:firstLineChars="0"/>
              <w:textAlignment w:val="auto"/>
              <w:rPr>
                <w:rFonts w:hint="eastAsia" w:ascii="宋体" w:hAnsi="宋体" w:eastAsia="宋体" w:cs="宋体"/>
                <w:kern w:val="2"/>
                <w:sz w:val="24"/>
                <w:szCs w:val="24"/>
              </w:rPr>
            </w:pPr>
            <w:r>
              <w:rPr>
                <w:rFonts w:hint="eastAsia" w:ascii="宋体" w:hAnsi="宋体" w:eastAsia="宋体" w:cs="宋体"/>
                <w:kern w:val="2"/>
                <w:sz w:val="24"/>
                <w:szCs w:val="24"/>
              </w:rPr>
              <w:t xml:space="preserve"> 2、所投报产品技术条款完全满足招标文件采购需求“技术标准与要求”中非带“▲”的参数要求（1</w:t>
            </w: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rPr>
              <w:t>项），每项得得1分，最高得1</w:t>
            </w: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rPr>
              <w:t>分。若有任意一种不满足或未响应招标文件要求的不得分。 3、本项最高得分为</w:t>
            </w:r>
            <w:r>
              <w:rPr>
                <w:rFonts w:hint="eastAsia" w:ascii="宋体" w:hAnsi="宋体" w:eastAsia="宋体" w:cs="宋体"/>
                <w:kern w:val="2"/>
                <w:sz w:val="24"/>
                <w:szCs w:val="24"/>
                <w:lang w:val="en-US" w:eastAsia="zh-CN"/>
              </w:rPr>
              <w:t>27</w:t>
            </w:r>
            <w:r>
              <w:rPr>
                <w:rFonts w:hint="eastAsia" w:ascii="宋体" w:hAnsi="宋体" w:eastAsia="宋体" w:cs="宋体"/>
                <w:kern w:val="2"/>
                <w:sz w:val="24"/>
                <w:szCs w:val="24"/>
              </w:rPr>
              <w:t>分。</w:t>
            </w:r>
          </w:p>
        </w:tc>
      </w:tr>
      <w:tr w14:paraId="58BE38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93" w:type="dxa"/>
            <w:vMerge w:val="continue"/>
            <w:vAlign w:val="top"/>
          </w:tcPr>
          <w:p w14:paraId="2538AF0E">
            <w:pPr>
              <w:keepNext w:val="0"/>
              <w:keepLines w:val="0"/>
              <w:pageBreakBefore w:val="0"/>
              <w:widowControl/>
              <w:kinsoku/>
              <w:wordWrap/>
              <w:overflowPunct/>
              <w:topLinePunct w:val="0"/>
              <w:autoSpaceDE/>
              <w:autoSpaceDN/>
              <w:bidi w:val="0"/>
              <w:adjustRightInd/>
              <w:snapToGrid/>
              <w:spacing w:line="520" w:lineRule="exact"/>
              <w:ind w:left="0" w:right="0" w:firstLine="0" w:firstLineChars="0"/>
              <w:textAlignment w:val="auto"/>
              <w:rPr>
                <w:rFonts w:hint="eastAsia" w:ascii="宋体" w:hAnsi="宋体" w:eastAsia="宋体" w:cs="宋体"/>
                <w:sz w:val="24"/>
                <w:szCs w:val="24"/>
              </w:rPr>
            </w:pPr>
          </w:p>
        </w:tc>
        <w:tc>
          <w:tcPr>
            <w:tcW w:w="2017" w:type="dxa"/>
            <w:vAlign w:val="center"/>
          </w:tcPr>
          <w:p w14:paraId="6CDD4FA4">
            <w:pPr>
              <w:pStyle w:val="226"/>
              <w:keepNext w:val="0"/>
              <w:keepLines w:val="0"/>
              <w:pageBreakBefore w:val="0"/>
              <w:widowControl/>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货物安全质量保障方案 (</w:t>
            </w:r>
            <w:r>
              <w:rPr>
                <w:rFonts w:hint="eastAsia" w:ascii="宋体" w:hAnsi="宋体" w:eastAsia="宋体" w:cs="宋体"/>
                <w:kern w:val="2"/>
                <w:sz w:val="24"/>
                <w:szCs w:val="24"/>
                <w:lang w:val="en-US" w:eastAsia="zh-CN"/>
              </w:rPr>
              <w:t>8</w:t>
            </w:r>
            <w:r>
              <w:rPr>
                <w:rFonts w:hint="eastAsia" w:ascii="宋体" w:hAnsi="宋体" w:eastAsia="宋体" w:cs="宋体"/>
                <w:kern w:val="2"/>
                <w:sz w:val="24"/>
                <w:szCs w:val="24"/>
              </w:rPr>
              <w:t>分)，（等次分值选择：0;2;5;</w:t>
            </w:r>
            <w:r>
              <w:rPr>
                <w:rFonts w:hint="eastAsia" w:ascii="宋体" w:hAnsi="宋体" w:eastAsia="宋体" w:cs="宋体"/>
                <w:kern w:val="2"/>
                <w:sz w:val="24"/>
                <w:szCs w:val="24"/>
                <w:lang w:val="en-US" w:eastAsia="zh-CN"/>
              </w:rPr>
              <w:t>8</w:t>
            </w:r>
            <w:r>
              <w:rPr>
                <w:rFonts w:hint="eastAsia" w:ascii="宋体" w:hAnsi="宋体" w:eastAsia="宋体" w:cs="宋体"/>
                <w:kern w:val="2"/>
                <w:sz w:val="24"/>
                <w:szCs w:val="24"/>
              </w:rPr>
              <w:t>;）</w:t>
            </w:r>
          </w:p>
        </w:tc>
        <w:tc>
          <w:tcPr>
            <w:tcW w:w="6547" w:type="dxa"/>
            <w:vAlign w:val="top"/>
          </w:tcPr>
          <w:p w14:paraId="44E60339">
            <w:pPr>
              <w:pStyle w:val="226"/>
              <w:keepNext w:val="0"/>
              <w:keepLines w:val="0"/>
              <w:pageBreakBefore w:val="0"/>
              <w:widowControl/>
              <w:kinsoku/>
              <w:wordWrap/>
              <w:overflowPunct/>
              <w:topLinePunct w:val="0"/>
              <w:autoSpaceDE/>
              <w:autoSpaceDN/>
              <w:bidi w:val="0"/>
              <w:adjustRightInd/>
              <w:snapToGrid/>
              <w:spacing w:line="520" w:lineRule="exact"/>
              <w:ind w:left="0" w:right="0" w:firstLine="0" w:firstLineChars="0"/>
              <w:textAlignment w:val="auto"/>
              <w:rPr>
                <w:rFonts w:hint="eastAsia" w:ascii="宋体" w:hAnsi="宋体" w:eastAsia="宋体" w:cs="宋体"/>
                <w:kern w:val="2"/>
                <w:sz w:val="24"/>
                <w:szCs w:val="24"/>
              </w:rPr>
            </w:pPr>
            <w:r>
              <w:rPr>
                <w:rFonts w:hint="eastAsia" w:ascii="宋体" w:hAnsi="宋体" w:eastAsia="宋体" w:cs="宋体"/>
                <w:kern w:val="2"/>
                <w:sz w:val="24"/>
                <w:szCs w:val="24"/>
              </w:rPr>
              <w:t>根据投标人针对本项目采购需求所提供的货物安全质量保障方案（内容包括：①货物制作及生产方案、②货物（含材料）选型、③质量及安全标准、④质量及安全保障措施）进行评审。所提供的货物安全质量保障方案应具针对性、条理清晰，内容明确具体、合理可行，货物（含材料）选型合理、可靠、耐用。 1、货物安全质量保障方案完全满足且优于采购需求的，得</w:t>
            </w:r>
            <w:r>
              <w:rPr>
                <w:rFonts w:hint="eastAsia" w:ascii="宋体" w:hAnsi="宋体" w:eastAsia="宋体" w:cs="宋体"/>
                <w:kern w:val="2"/>
                <w:sz w:val="24"/>
                <w:szCs w:val="24"/>
                <w:lang w:val="en-US" w:eastAsia="zh-CN"/>
              </w:rPr>
              <w:t>8</w:t>
            </w:r>
            <w:r>
              <w:rPr>
                <w:rFonts w:hint="eastAsia" w:ascii="宋体" w:hAnsi="宋体" w:eastAsia="宋体" w:cs="宋体"/>
                <w:kern w:val="2"/>
                <w:sz w:val="24"/>
                <w:szCs w:val="24"/>
              </w:rPr>
              <w:t>分； 2、货物安全质量保障方案完全满足采购需求的，得5分； 3、货物安全质量保障方案部分满足采购需求的，得2分； 4、未提供货物安全质量保障方案的不得分。</w:t>
            </w:r>
          </w:p>
        </w:tc>
      </w:tr>
      <w:tr w14:paraId="584B29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93" w:type="dxa"/>
            <w:vMerge w:val="continue"/>
            <w:vAlign w:val="top"/>
          </w:tcPr>
          <w:p w14:paraId="15624615">
            <w:pPr>
              <w:keepNext w:val="0"/>
              <w:keepLines w:val="0"/>
              <w:pageBreakBefore w:val="0"/>
              <w:widowControl/>
              <w:kinsoku/>
              <w:wordWrap/>
              <w:overflowPunct/>
              <w:topLinePunct w:val="0"/>
              <w:autoSpaceDE/>
              <w:autoSpaceDN/>
              <w:bidi w:val="0"/>
              <w:adjustRightInd/>
              <w:snapToGrid/>
              <w:spacing w:line="520" w:lineRule="exact"/>
              <w:ind w:left="0" w:right="0" w:firstLine="0" w:firstLineChars="0"/>
              <w:textAlignment w:val="auto"/>
              <w:rPr>
                <w:rFonts w:hint="eastAsia" w:ascii="宋体" w:hAnsi="宋体" w:eastAsia="宋体" w:cs="宋体"/>
                <w:sz w:val="24"/>
                <w:szCs w:val="24"/>
              </w:rPr>
            </w:pPr>
          </w:p>
        </w:tc>
        <w:tc>
          <w:tcPr>
            <w:tcW w:w="2017" w:type="dxa"/>
            <w:vAlign w:val="center"/>
          </w:tcPr>
          <w:p w14:paraId="26A5CE3D">
            <w:pPr>
              <w:pStyle w:val="226"/>
              <w:keepNext w:val="0"/>
              <w:keepLines w:val="0"/>
              <w:pageBreakBefore w:val="0"/>
              <w:widowControl/>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安装调试方案 (</w:t>
            </w:r>
            <w:r>
              <w:rPr>
                <w:rFonts w:hint="eastAsia" w:ascii="宋体" w:hAnsi="宋体" w:eastAsia="宋体" w:cs="宋体"/>
                <w:kern w:val="2"/>
                <w:sz w:val="24"/>
                <w:szCs w:val="24"/>
                <w:lang w:val="en-US" w:eastAsia="zh-CN"/>
              </w:rPr>
              <w:t>8</w:t>
            </w:r>
            <w:r>
              <w:rPr>
                <w:rFonts w:hint="eastAsia" w:ascii="宋体" w:hAnsi="宋体" w:eastAsia="宋体" w:cs="宋体"/>
                <w:kern w:val="2"/>
                <w:sz w:val="24"/>
                <w:szCs w:val="24"/>
              </w:rPr>
              <w:t>分)，（等次分值选择：0;</w:t>
            </w: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rPr>
              <w:t>;</w:t>
            </w: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rPr>
              <w:t>;</w:t>
            </w:r>
            <w:r>
              <w:rPr>
                <w:rFonts w:hint="eastAsia" w:ascii="宋体" w:hAnsi="宋体" w:eastAsia="宋体" w:cs="宋体"/>
                <w:kern w:val="2"/>
                <w:sz w:val="24"/>
                <w:szCs w:val="24"/>
                <w:lang w:val="en-US" w:eastAsia="zh-CN"/>
              </w:rPr>
              <w:t>8</w:t>
            </w:r>
            <w:r>
              <w:rPr>
                <w:rFonts w:hint="eastAsia" w:ascii="宋体" w:hAnsi="宋体" w:eastAsia="宋体" w:cs="宋体"/>
                <w:kern w:val="2"/>
                <w:sz w:val="24"/>
                <w:szCs w:val="24"/>
              </w:rPr>
              <w:t>;）</w:t>
            </w:r>
          </w:p>
        </w:tc>
        <w:tc>
          <w:tcPr>
            <w:tcW w:w="6547" w:type="dxa"/>
            <w:vAlign w:val="top"/>
          </w:tcPr>
          <w:p w14:paraId="1C4F574C">
            <w:pPr>
              <w:pStyle w:val="226"/>
              <w:keepNext w:val="0"/>
              <w:keepLines w:val="0"/>
              <w:pageBreakBefore w:val="0"/>
              <w:widowControl/>
              <w:kinsoku/>
              <w:wordWrap/>
              <w:overflowPunct/>
              <w:topLinePunct w:val="0"/>
              <w:autoSpaceDE/>
              <w:autoSpaceDN/>
              <w:bidi w:val="0"/>
              <w:adjustRightInd/>
              <w:snapToGrid/>
              <w:spacing w:line="520" w:lineRule="exact"/>
              <w:ind w:left="0" w:right="0" w:firstLine="0" w:firstLineChars="0"/>
              <w:textAlignment w:val="auto"/>
              <w:rPr>
                <w:rFonts w:hint="eastAsia" w:ascii="宋体" w:hAnsi="宋体" w:eastAsia="宋体" w:cs="宋体"/>
                <w:kern w:val="2"/>
                <w:sz w:val="24"/>
                <w:szCs w:val="24"/>
              </w:rPr>
            </w:pPr>
            <w:r>
              <w:rPr>
                <w:rFonts w:hint="eastAsia" w:ascii="宋体" w:hAnsi="宋体" w:eastAsia="宋体" w:cs="宋体"/>
                <w:kern w:val="2"/>
                <w:sz w:val="24"/>
                <w:szCs w:val="24"/>
              </w:rPr>
              <w:t>根据投标人针对本项目采购需求所提供的安装调试方案（内容包括：①安装调试方案、②安装调试技术重点难点分析及应对措施、③安装人员安排计划）进行评审。所提供的安装调试方案应具针对性、条理清晰，内容明确具体、合理可行。 1、安装调试方案完全满足且优于采购需求的，得</w:t>
            </w:r>
            <w:r>
              <w:rPr>
                <w:rFonts w:hint="eastAsia" w:ascii="宋体" w:hAnsi="宋体" w:eastAsia="宋体" w:cs="宋体"/>
                <w:kern w:val="2"/>
                <w:sz w:val="24"/>
                <w:szCs w:val="24"/>
                <w:lang w:val="en-US" w:eastAsia="zh-CN"/>
              </w:rPr>
              <w:t>8</w:t>
            </w:r>
            <w:r>
              <w:rPr>
                <w:rFonts w:hint="eastAsia" w:ascii="宋体" w:hAnsi="宋体" w:eastAsia="宋体" w:cs="宋体"/>
                <w:kern w:val="2"/>
                <w:sz w:val="24"/>
                <w:szCs w:val="24"/>
              </w:rPr>
              <w:t>分； 2、安装调试方案完全满足采购需求的，得</w:t>
            </w: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rPr>
              <w:t>分； 3、安装调试方案部分满足采购需求的，得</w:t>
            </w: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rPr>
              <w:t>分； 4、未提供安装调试方案的不得分。</w:t>
            </w:r>
          </w:p>
        </w:tc>
      </w:tr>
      <w:tr w14:paraId="698DB3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93" w:type="dxa"/>
            <w:vMerge w:val="continue"/>
            <w:vAlign w:val="top"/>
          </w:tcPr>
          <w:p w14:paraId="695C7E36">
            <w:pPr>
              <w:keepNext w:val="0"/>
              <w:keepLines w:val="0"/>
              <w:pageBreakBefore w:val="0"/>
              <w:widowControl/>
              <w:kinsoku/>
              <w:wordWrap/>
              <w:overflowPunct/>
              <w:topLinePunct w:val="0"/>
              <w:autoSpaceDE/>
              <w:autoSpaceDN/>
              <w:bidi w:val="0"/>
              <w:adjustRightInd/>
              <w:snapToGrid/>
              <w:spacing w:line="520" w:lineRule="exact"/>
              <w:ind w:left="0" w:right="0" w:firstLine="0" w:firstLineChars="0"/>
              <w:textAlignment w:val="auto"/>
              <w:rPr>
                <w:rFonts w:hint="eastAsia" w:ascii="宋体" w:hAnsi="宋体" w:eastAsia="宋体" w:cs="宋体"/>
                <w:sz w:val="24"/>
                <w:szCs w:val="24"/>
              </w:rPr>
            </w:pPr>
          </w:p>
        </w:tc>
        <w:tc>
          <w:tcPr>
            <w:tcW w:w="2017" w:type="dxa"/>
            <w:vAlign w:val="center"/>
          </w:tcPr>
          <w:p w14:paraId="30B54228">
            <w:pPr>
              <w:pStyle w:val="226"/>
              <w:keepNext w:val="0"/>
              <w:keepLines w:val="0"/>
              <w:pageBreakBefore w:val="0"/>
              <w:widowControl/>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供货进度计划和保障措施 (</w:t>
            </w:r>
            <w:r>
              <w:rPr>
                <w:rFonts w:hint="eastAsia" w:ascii="宋体" w:hAnsi="宋体" w:eastAsia="宋体" w:cs="宋体"/>
                <w:kern w:val="2"/>
                <w:sz w:val="24"/>
                <w:szCs w:val="24"/>
                <w:lang w:val="en-US" w:eastAsia="zh-CN"/>
              </w:rPr>
              <w:t>7</w:t>
            </w:r>
            <w:r>
              <w:rPr>
                <w:rFonts w:hint="eastAsia" w:ascii="宋体" w:hAnsi="宋体" w:eastAsia="宋体" w:cs="宋体"/>
                <w:kern w:val="2"/>
                <w:sz w:val="24"/>
                <w:szCs w:val="24"/>
              </w:rPr>
              <w:t>分)，（等次分值选择：0;</w:t>
            </w: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rPr>
              <w:t>;</w:t>
            </w: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rPr>
              <w:t>;</w:t>
            </w:r>
            <w:r>
              <w:rPr>
                <w:rFonts w:hint="eastAsia" w:ascii="宋体" w:hAnsi="宋体" w:eastAsia="宋体" w:cs="宋体"/>
                <w:kern w:val="2"/>
                <w:sz w:val="24"/>
                <w:szCs w:val="24"/>
                <w:lang w:val="en-US" w:eastAsia="zh-CN"/>
              </w:rPr>
              <w:t>7</w:t>
            </w:r>
            <w:r>
              <w:rPr>
                <w:rFonts w:hint="eastAsia" w:ascii="宋体" w:hAnsi="宋体" w:eastAsia="宋体" w:cs="宋体"/>
                <w:kern w:val="2"/>
                <w:sz w:val="24"/>
                <w:szCs w:val="24"/>
              </w:rPr>
              <w:t>;）</w:t>
            </w:r>
          </w:p>
        </w:tc>
        <w:tc>
          <w:tcPr>
            <w:tcW w:w="6547" w:type="dxa"/>
            <w:vAlign w:val="top"/>
          </w:tcPr>
          <w:p w14:paraId="6AD0B17F">
            <w:pPr>
              <w:pStyle w:val="226"/>
              <w:keepNext w:val="0"/>
              <w:keepLines w:val="0"/>
              <w:pageBreakBefore w:val="0"/>
              <w:widowControl/>
              <w:kinsoku/>
              <w:wordWrap/>
              <w:overflowPunct/>
              <w:topLinePunct w:val="0"/>
              <w:autoSpaceDE/>
              <w:autoSpaceDN/>
              <w:bidi w:val="0"/>
              <w:adjustRightInd/>
              <w:snapToGrid/>
              <w:spacing w:line="520" w:lineRule="exact"/>
              <w:ind w:left="0" w:right="0" w:firstLine="0" w:firstLineChars="0"/>
              <w:textAlignment w:val="auto"/>
              <w:rPr>
                <w:rFonts w:hint="eastAsia" w:ascii="宋体" w:hAnsi="宋体" w:eastAsia="宋体" w:cs="宋体"/>
                <w:kern w:val="2"/>
                <w:sz w:val="24"/>
                <w:szCs w:val="24"/>
              </w:rPr>
            </w:pPr>
            <w:r>
              <w:rPr>
                <w:rFonts w:hint="eastAsia" w:ascii="宋体" w:hAnsi="宋体" w:eastAsia="宋体" w:cs="宋体"/>
                <w:kern w:val="2"/>
                <w:sz w:val="24"/>
                <w:szCs w:val="24"/>
              </w:rPr>
              <w:t>根据投标人针对本项目采购需求所提供的供货进度计划和保障措施（内容包括：①供货进度计划、②供货进度保障措施、③供货人员及车辆安排计划）进行评审。所提供的供货进度计划和保障措施应具针对性、条理清晰，内容明确具体、合理可行。 1、供货进度计划和保障措施完全满足且优于采购需求的，得</w:t>
            </w:r>
            <w:r>
              <w:rPr>
                <w:rFonts w:hint="eastAsia" w:ascii="宋体" w:hAnsi="宋体" w:eastAsia="宋体" w:cs="宋体"/>
                <w:kern w:val="2"/>
                <w:sz w:val="24"/>
                <w:szCs w:val="24"/>
                <w:lang w:val="en-US" w:eastAsia="zh-CN"/>
              </w:rPr>
              <w:t>7</w:t>
            </w:r>
            <w:r>
              <w:rPr>
                <w:rFonts w:hint="eastAsia" w:ascii="宋体" w:hAnsi="宋体" w:eastAsia="宋体" w:cs="宋体"/>
                <w:kern w:val="2"/>
                <w:sz w:val="24"/>
                <w:szCs w:val="24"/>
              </w:rPr>
              <w:t>分； 2、供货进度计划和保障措施完全满足采购需求的，得4分； 3、供货进度计划和保障措施部分满足采购需求的，得</w:t>
            </w: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rPr>
              <w:t>分； 4、未提供货物供货方案的不得分。</w:t>
            </w:r>
          </w:p>
        </w:tc>
      </w:tr>
      <w:tr w14:paraId="68FA93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93" w:type="dxa"/>
            <w:vMerge w:val="restart"/>
            <w:vAlign w:val="center"/>
          </w:tcPr>
          <w:p w14:paraId="24D8D5C2">
            <w:pPr>
              <w:pStyle w:val="226"/>
              <w:keepNext w:val="0"/>
              <w:keepLines w:val="0"/>
              <w:pageBreakBefore w:val="0"/>
              <w:widowControl/>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商务部分</w:t>
            </w:r>
          </w:p>
        </w:tc>
        <w:tc>
          <w:tcPr>
            <w:tcW w:w="2017" w:type="dxa"/>
            <w:vAlign w:val="center"/>
          </w:tcPr>
          <w:p w14:paraId="510FCD65">
            <w:pPr>
              <w:pStyle w:val="226"/>
              <w:keepNext w:val="0"/>
              <w:keepLines w:val="0"/>
              <w:pageBreakBefore w:val="0"/>
              <w:widowControl/>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同类项目业绩 (</w:t>
            </w:r>
            <w:r>
              <w:rPr>
                <w:rFonts w:hint="eastAsia" w:ascii="宋体" w:hAnsi="宋体" w:eastAsia="宋体" w:cs="宋体"/>
                <w:kern w:val="2"/>
                <w:sz w:val="24"/>
                <w:szCs w:val="24"/>
                <w:lang w:val="en-US" w:eastAsia="zh-CN"/>
              </w:rPr>
              <w:t>9</w:t>
            </w:r>
            <w:r>
              <w:rPr>
                <w:rFonts w:hint="eastAsia" w:ascii="宋体" w:hAnsi="宋体" w:eastAsia="宋体" w:cs="宋体"/>
                <w:kern w:val="2"/>
                <w:sz w:val="24"/>
                <w:szCs w:val="24"/>
              </w:rPr>
              <w:t>分)，（等次分值选择：0;3;</w:t>
            </w:r>
            <w:r>
              <w:rPr>
                <w:rFonts w:hint="eastAsia" w:ascii="宋体" w:hAnsi="宋体" w:eastAsia="宋体" w:cs="宋体"/>
                <w:kern w:val="2"/>
                <w:sz w:val="24"/>
                <w:szCs w:val="24"/>
                <w:lang w:val="en-US" w:eastAsia="zh-CN"/>
              </w:rPr>
              <w:t>6</w:t>
            </w:r>
            <w:r>
              <w:rPr>
                <w:rFonts w:hint="eastAsia" w:ascii="宋体" w:hAnsi="宋体" w:eastAsia="宋体" w:cs="宋体"/>
                <w:kern w:val="2"/>
                <w:sz w:val="24"/>
                <w:szCs w:val="24"/>
              </w:rPr>
              <w:t>;</w:t>
            </w:r>
            <w:r>
              <w:rPr>
                <w:rFonts w:hint="eastAsia" w:ascii="宋体" w:hAnsi="宋体" w:eastAsia="宋体" w:cs="宋体"/>
                <w:kern w:val="2"/>
                <w:sz w:val="24"/>
                <w:szCs w:val="24"/>
                <w:lang w:val="en-US" w:eastAsia="zh-CN"/>
              </w:rPr>
              <w:t>9</w:t>
            </w:r>
            <w:r>
              <w:rPr>
                <w:rFonts w:hint="eastAsia" w:ascii="宋体" w:hAnsi="宋体" w:eastAsia="宋体" w:cs="宋体"/>
                <w:kern w:val="2"/>
                <w:sz w:val="24"/>
                <w:szCs w:val="24"/>
              </w:rPr>
              <w:t>;）</w:t>
            </w:r>
          </w:p>
        </w:tc>
        <w:tc>
          <w:tcPr>
            <w:tcW w:w="6547" w:type="dxa"/>
            <w:vAlign w:val="top"/>
          </w:tcPr>
          <w:p w14:paraId="586A4F92">
            <w:pPr>
              <w:pStyle w:val="226"/>
              <w:keepNext w:val="0"/>
              <w:keepLines w:val="0"/>
              <w:pageBreakBefore w:val="0"/>
              <w:widowControl/>
              <w:kinsoku/>
              <w:wordWrap/>
              <w:overflowPunct/>
              <w:topLinePunct w:val="0"/>
              <w:autoSpaceDE/>
              <w:autoSpaceDN/>
              <w:bidi w:val="0"/>
              <w:adjustRightInd/>
              <w:snapToGrid/>
              <w:spacing w:line="520" w:lineRule="exact"/>
              <w:ind w:left="0" w:right="0" w:firstLine="0" w:firstLineChars="0"/>
              <w:textAlignment w:val="auto"/>
              <w:rPr>
                <w:rFonts w:hint="eastAsia" w:ascii="宋体" w:hAnsi="宋体" w:eastAsia="宋体" w:cs="宋体"/>
                <w:kern w:val="2"/>
                <w:sz w:val="24"/>
                <w:szCs w:val="24"/>
              </w:rPr>
            </w:pPr>
            <w:r>
              <w:rPr>
                <w:rFonts w:hint="eastAsia" w:ascii="宋体" w:hAnsi="宋体" w:eastAsia="宋体" w:cs="宋体"/>
                <w:kern w:val="2"/>
                <w:sz w:val="24"/>
                <w:szCs w:val="24"/>
              </w:rPr>
              <w:t>投标人2021年1月1日至今（以合同签订日期为准）具有家具类项目业绩的，每项得3分，未提供的不得分。本项最高得分为</w:t>
            </w:r>
            <w:r>
              <w:rPr>
                <w:rFonts w:hint="eastAsia" w:ascii="宋体" w:hAnsi="宋体" w:eastAsia="宋体" w:cs="宋体"/>
                <w:kern w:val="2"/>
                <w:sz w:val="24"/>
                <w:szCs w:val="24"/>
                <w:lang w:val="en-US" w:eastAsia="zh-CN"/>
              </w:rPr>
              <w:t>9</w:t>
            </w:r>
            <w:r>
              <w:rPr>
                <w:rFonts w:hint="eastAsia" w:ascii="宋体" w:hAnsi="宋体" w:eastAsia="宋体" w:cs="宋体"/>
                <w:kern w:val="2"/>
                <w:sz w:val="24"/>
                <w:szCs w:val="24"/>
              </w:rPr>
              <w:t>分。 注：需在投标文件中提供项目合同关键页（须体现出签订合同双方的单位名称、签订合同双方的落款盖章、签订日期、项目主要内容等的关键页）复印件，并加盖投标人单位公章，否则不得分。</w:t>
            </w:r>
          </w:p>
        </w:tc>
      </w:tr>
      <w:tr w14:paraId="178839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93" w:type="dxa"/>
            <w:vMerge w:val="continue"/>
            <w:vAlign w:val="top"/>
          </w:tcPr>
          <w:p w14:paraId="7BFA7054">
            <w:pPr>
              <w:keepNext w:val="0"/>
              <w:keepLines w:val="0"/>
              <w:pageBreakBefore w:val="0"/>
              <w:widowControl/>
              <w:kinsoku/>
              <w:wordWrap/>
              <w:overflowPunct/>
              <w:topLinePunct w:val="0"/>
              <w:autoSpaceDE/>
              <w:autoSpaceDN/>
              <w:bidi w:val="0"/>
              <w:adjustRightInd/>
              <w:snapToGrid/>
              <w:spacing w:line="520" w:lineRule="exact"/>
              <w:ind w:left="0" w:right="0" w:firstLine="0" w:firstLineChars="0"/>
              <w:textAlignment w:val="auto"/>
              <w:rPr>
                <w:rFonts w:hint="eastAsia" w:ascii="宋体" w:hAnsi="宋体" w:eastAsia="宋体" w:cs="宋体"/>
                <w:sz w:val="24"/>
                <w:szCs w:val="24"/>
              </w:rPr>
            </w:pPr>
          </w:p>
        </w:tc>
        <w:tc>
          <w:tcPr>
            <w:tcW w:w="2017" w:type="dxa"/>
            <w:vAlign w:val="center"/>
          </w:tcPr>
          <w:p w14:paraId="64C789B8">
            <w:pPr>
              <w:pStyle w:val="226"/>
              <w:keepNext w:val="0"/>
              <w:keepLines w:val="0"/>
              <w:pageBreakBefore w:val="0"/>
              <w:widowControl/>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售后服务方案 (</w:t>
            </w:r>
            <w:r>
              <w:rPr>
                <w:rFonts w:hint="eastAsia" w:ascii="宋体" w:hAnsi="宋体" w:eastAsia="宋体" w:cs="宋体"/>
                <w:kern w:val="2"/>
                <w:sz w:val="24"/>
                <w:szCs w:val="24"/>
                <w:lang w:val="en-US" w:eastAsia="zh-CN"/>
              </w:rPr>
              <w:t>11</w:t>
            </w:r>
            <w:r>
              <w:rPr>
                <w:rFonts w:hint="eastAsia" w:ascii="宋体" w:hAnsi="宋体" w:eastAsia="宋体" w:cs="宋体"/>
                <w:kern w:val="2"/>
                <w:sz w:val="24"/>
                <w:szCs w:val="24"/>
              </w:rPr>
              <w:t>分)，（等次分值选择：0;2;</w:t>
            </w:r>
            <w:r>
              <w:rPr>
                <w:rFonts w:hint="eastAsia" w:ascii="宋体" w:hAnsi="宋体" w:eastAsia="宋体" w:cs="宋体"/>
                <w:kern w:val="2"/>
                <w:sz w:val="24"/>
                <w:szCs w:val="24"/>
                <w:lang w:val="en-US" w:eastAsia="zh-CN"/>
              </w:rPr>
              <w:t>6</w:t>
            </w:r>
            <w:r>
              <w:rPr>
                <w:rFonts w:hint="eastAsia" w:ascii="宋体" w:hAnsi="宋体" w:eastAsia="宋体" w:cs="宋体"/>
                <w:kern w:val="2"/>
                <w:sz w:val="24"/>
                <w:szCs w:val="24"/>
              </w:rPr>
              <w:t>;</w:t>
            </w:r>
            <w:r>
              <w:rPr>
                <w:rFonts w:hint="eastAsia" w:ascii="宋体" w:hAnsi="宋体" w:eastAsia="宋体" w:cs="宋体"/>
                <w:kern w:val="2"/>
                <w:sz w:val="24"/>
                <w:szCs w:val="24"/>
                <w:lang w:val="en-US" w:eastAsia="zh-CN"/>
              </w:rPr>
              <w:t>11</w:t>
            </w:r>
            <w:r>
              <w:rPr>
                <w:rFonts w:hint="eastAsia" w:ascii="宋体" w:hAnsi="宋体" w:eastAsia="宋体" w:cs="宋体"/>
                <w:kern w:val="2"/>
                <w:sz w:val="24"/>
                <w:szCs w:val="24"/>
              </w:rPr>
              <w:t>;）</w:t>
            </w:r>
          </w:p>
        </w:tc>
        <w:tc>
          <w:tcPr>
            <w:tcW w:w="6547" w:type="dxa"/>
            <w:vAlign w:val="top"/>
          </w:tcPr>
          <w:p w14:paraId="31DEFF64">
            <w:pPr>
              <w:pStyle w:val="226"/>
              <w:keepNext w:val="0"/>
              <w:keepLines w:val="0"/>
              <w:pageBreakBefore w:val="0"/>
              <w:widowControl/>
              <w:kinsoku/>
              <w:wordWrap/>
              <w:overflowPunct/>
              <w:topLinePunct w:val="0"/>
              <w:autoSpaceDE/>
              <w:autoSpaceDN/>
              <w:bidi w:val="0"/>
              <w:adjustRightInd/>
              <w:snapToGrid/>
              <w:spacing w:line="520" w:lineRule="exact"/>
              <w:ind w:left="0" w:right="0" w:firstLine="0" w:firstLineChars="0"/>
              <w:textAlignment w:val="auto"/>
              <w:rPr>
                <w:rFonts w:hint="eastAsia" w:ascii="宋体" w:hAnsi="宋体" w:eastAsia="宋体" w:cs="宋体"/>
                <w:kern w:val="2"/>
                <w:sz w:val="24"/>
                <w:szCs w:val="24"/>
              </w:rPr>
            </w:pPr>
            <w:r>
              <w:rPr>
                <w:rFonts w:hint="eastAsia" w:ascii="宋体" w:hAnsi="宋体" w:eastAsia="宋体" w:cs="宋体"/>
                <w:kern w:val="2"/>
                <w:sz w:val="24"/>
                <w:szCs w:val="24"/>
              </w:rPr>
              <w:t>根据投标人针对本项目采购需求所提供的售后服务方案（内容包括：①质量保证期（或保修期）响应情况；②维修响应时间承诺；③售后服务人员安排计划；④应急维修措施）进行评审。所提供的售后服务方案应具针对性、条理清晰，内容明确具体、合理可行。 1、售后服务方案完全满足且优于采购需求的，得</w:t>
            </w:r>
            <w:r>
              <w:rPr>
                <w:rFonts w:hint="eastAsia" w:ascii="宋体" w:hAnsi="宋体" w:eastAsia="宋体" w:cs="宋体"/>
                <w:kern w:val="2"/>
                <w:sz w:val="24"/>
                <w:szCs w:val="24"/>
                <w:lang w:val="en-US" w:eastAsia="zh-CN"/>
              </w:rPr>
              <w:t>11</w:t>
            </w:r>
            <w:r>
              <w:rPr>
                <w:rFonts w:hint="eastAsia" w:ascii="宋体" w:hAnsi="宋体" w:eastAsia="宋体" w:cs="宋体"/>
                <w:kern w:val="2"/>
                <w:sz w:val="24"/>
                <w:szCs w:val="24"/>
              </w:rPr>
              <w:t>分； 2、售后服务方案完全满足采购需求的，得</w:t>
            </w:r>
            <w:r>
              <w:rPr>
                <w:rFonts w:hint="eastAsia" w:ascii="宋体" w:hAnsi="宋体" w:eastAsia="宋体" w:cs="宋体"/>
                <w:kern w:val="2"/>
                <w:sz w:val="24"/>
                <w:szCs w:val="24"/>
                <w:lang w:val="en-US" w:eastAsia="zh-CN"/>
              </w:rPr>
              <w:t>6</w:t>
            </w:r>
            <w:r>
              <w:rPr>
                <w:rFonts w:hint="eastAsia" w:ascii="宋体" w:hAnsi="宋体" w:eastAsia="宋体" w:cs="宋体"/>
                <w:kern w:val="2"/>
                <w:sz w:val="24"/>
                <w:szCs w:val="24"/>
              </w:rPr>
              <w:t>分； 3、售后服务方案部分满足采购需求的，得2分； 4、未提供售后服务方案的不得分。</w:t>
            </w:r>
          </w:p>
        </w:tc>
      </w:tr>
      <w:tr w14:paraId="0AA2F0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93" w:type="dxa"/>
            <w:vAlign w:val="center"/>
          </w:tcPr>
          <w:p w14:paraId="030AEC21">
            <w:pPr>
              <w:pStyle w:val="226"/>
              <w:keepNext w:val="0"/>
              <w:keepLines w:val="0"/>
              <w:pageBreakBefore w:val="0"/>
              <w:widowControl/>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投标报价</w:t>
            </w:r>
          </w:p>
        </w:tc>
        <w:tc>
          <w:tcPr>
            <w:tcW w:w="2017" w:type="dxa"/>
            <w:vAlign w:val="center"/>
          </w:tcPr>
          <w:p w14:paraId="0D99407D">
            <w:pPr>
              <w:pStyle w:val="226"/>
              <w:keepNext w:val="0"/>
              <w:keepLines w:val="0"/>
              <w:pageBreakBefore w:val="0"/>
              <w:widowControl/>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投标报价得分 (30分)</w:t>
            </w:r>
          </w:p>
        </w:tc>
        <w:tc>
          <w:tcPr>
            <w:tcW w:w="6547" w:type="dxa"/>
            <w:vAlign w:val="top"/>
          </w:tcPr>
          <w:p w14:paraId="4E27BC8F">
            <w:pPr>
              <w:pStyle w:val="226"/>
              <w:keepNext w:val="0"/>
              <w:keepLines w:val="0"/>
              <w:pageBreakBefore w:val="0"/>
              <w:widowControl/>
              <w:kinsoku/>
              <w:wordWrap/>
              <w:overflowPunct/>
              <w:topLinePunct w:val="0"/>
              <w:autoSpaceDE/>
              <w:autoSpaceDN/>
              <w:bidi w:val="0"/>
              <w:adjustRightInd/>
              <w:snapToGrid/>
              <w:spacing w:line="520" w:lineRule="exact"/>
              <w:ind w:left="0" w:right="0" w:firstLine="0" w:firstLineChars="0"/>
              <w:textAlignment w:val="auto"/>
              <w:rPr>
                <w:rFonts w:hint="eastAsia" w:ascii="宋体" w:hAnsi="宋体" w:eastAsia="宋体" w:cs="宋体"/>
                <w:kern w:val="2"/>
                <w:sz w:val="24"/>
                <w:szCs w:val="24"/>
              </w:rPr>
            </w:pPr>
            <w:r>
              <w:rPr>
                <w:rFonts w:hint="eastAsia" w:ascii="宋体" w:hAnsi="宋体" w:eastAsia="宋体" w:cs="宋体"/>
                <w:kern w:val="2"/>
                <w:sz w:val="24"/>
                <w:szCs w:val="24"/>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0D71C954">
      <w:pPr>
        <w:pStyle w:val="2"/>
        <w:pageBreakBefore w:val="0"/>
        <w:wordWrap/>
        <w:overflowPunct/>
        <w:topLinePunct w:val="0"/>
        <w:bidi w:val="0"/>
        <w:spacing w:line="520" w:lineRule="exact"/>
        <w:ind w:left="0" w:right="0" w:firstLine="480" w:firstLineChars="200"/>
        <w:rPr>
          <w:rFonts w:hint="eastAsia" w:ascii="宋体" w:hAnsi="宋体" w:eastAsia="宋体" w:cs="宋体"/>
          <w:sz w:val="24"/>
          <w:szCs w:val="24"/>
        </w:rPr>
      </w:pPr>
    </w:p>
    <w:p w14:paraId="7FE7F87F">
      <w:pPr>
        <w:pageBreakBefore w:val="0"/>
        <w:wordWrap/>
        <w:overflowPunct/>
        <w:topLinePunct w:val="0"/>
        <w:bidi w:val="0"/>
        <w:spacing w:line="520" w:lineRule="exact"/>
        <w:ind w:left="0" w:right="0" w:firstLine="480" w:firstLineChars="200"/>
        <w:rPr>
          <w:rFonts w:hint="eastAsia" w:ascii="宋体" w:hAnsi="宋体" w:eastAsia="宋体" w:cs="宋体"/>
          <w:sz w:val="24"/>
          <w:szCs w:val="24"/>
        </w:rPr>
      </w:pPr>
      <w:r>
        <w:rPr>
          <w:rFonts w:hint="eastAsia" w:ascii="宋体" w:hAnsi="宋体" w:eastAsia="宋体" w:cs="宋体"/>
          <w:color w:val="000000"/>
          <w:sz w:val="24"/>
          <w:szCs w:val="24"/>
        </w:rPr>
        <w:t>4.5遴选结果：</w:t>
      </w:r>
      <w:r>
        <w:rPr>
          <w:rFonts w:hint="eastAsia" w:ascii="宋体" w:hAnsi="宋体" w:eastAsia="宋体" w:cs="宋体"/>
          <w:sz w:val="24"/>
          <w:szCs w:val="24"/>
        </w:rPr>
        <w:t>开平市中心医院官网公示</w:t>
      </w:r>
    </w:p>
    <w:p w14:paraId="479ADBFB">
      <w:pPr>
        <w:pStyle w:val="227"/>
        <w:pageBreakBefore w:val="0"/>
        <w:wordWrap/>
        <w:overflowPunct/>
        <w:topLinePunct w:val="0"/>
        <w:bidi w:val="0"/>
        <w:spacing w:line="520" w:lineRule="exact"/>
        <w:ind w:left="0" w:right="0" w:firstLine="482" w:firstLineChars="200"/>
        <w:rPr>
          <w:rFonts w:hint="eastAsia" w:ascii="宋体" w:hAnsi="宋体" w:eastAsia="宋体" w:cs="宋体"/>
          <w:sz w:val="24"/>
          <w:szCs w:val="24"/>
        </w:rPr>
      </w:pPr>
      <w:r>
        <w:rPr>
          <w:rFonts w:hint="eastAsia" w:ascii="宋体" w:hAnsi="宋体" w:eastAsia="宋体" w:cs="宋体"/>
          <w:b/>
          <w:bCs/>
          <w:sz w:val="24"/>
          <w:szCs w:val="24"/>
        </w:rPr>
        <w:t>5.本次遴选相关事宜联系：</w:t>
      </w:r>
    </w:p>
    <w:p w14:paraId="7DCAD9CD">
      <w:pPr>
        <w:pageBreakBefore w:val="0"/>
        <w:wordWrap/>
        <w:overflowPunct/>
        <w:topLinePunct w:val="0"/>
        <w:bidi w:val="0"/>
        <w:spacing w:line="520" w:lineRule="exact"/>
        <w:ind w:left="0" w:right="0" w:firstLine="480" w:firstLineChars="20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项目联系人：龚小姐，电话：</w:t>
      </w:r>
      <w:r>
        <w:rPr>
          <w:rFonts w:hint="eastAsia" w:ascii="宋体" w:hAnsi="宋体" w:eastAsia="宋体" w:cs="宋体"/>
          <w:color w:val="000000"/>
          <w:sz w:val="24"/>
          <w:szCs w:val="24"/>
          <w:lang w:val="en-US" w:eastAsia="zh-CN"/>
        </w:rPr>
        <w:t>0750-2371848</w:t>
      </w:r>
    </w:p>
    <w:p w14:paraId="3E7CB4C7">
      <w:pPr>
        <w:pageBreakBefore w:val="0"/>
        <w:widowControl w:val="0"/>
        <w:kinsoku/>
        <w:wordWrap/>
        <w:overflowPunct/>
        <w:topLinePunct w:val="0"/>
        <w:bidi w:val="0"/>
        <w:snapToGrid/>
        <w:spacing w:line="480" w:lineRule="exact"/>
        <w:ind w:left="0" w:firstLine="482" w:firstLineChars="200"/>
        <w:rPr>
          <w:rFonts w:hint="eastAsia" w:ascii="宋体" w:hAnsi="宋体" w:eastAsia="宋体" w:cs="宋体"/>
          <w:bCs/>
          <w:sz w:val="24"/>
        </w:rPr>
      </w:pPr>
      <w:r>
        <w:rPr>
          <w:rFonts w:hint="eastAsia" w:ascii="宋体" w:hAnsi="宋体" w:eastAsia="宋体" w:cs="宋体"/>
          <w:b/>
          <w:bCs/>
          <w:sz w:val="24"/>
          <w:szCs w:val="24"/>
        </w:rPr>
        <w:t>6.报名须知</w:t>
      </w:r>
    </w:p>
    <w:p w14:paraId="07C6E4B9">
      <w:pPr>
        <w:pStyle w:val="227"/>
        <w:pageBreakBefore w:val="0"/>
        <w:wordWrap/>
        <w:overflowPunct/>
        <w:topLinePunct w:val="0"/>
        <w:bidi w:val="0"/>
        <w:spacing w:line="520" w:lineRule="exact"/>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6.1 本次遴选项目接受现场资料递交或邮寄。</w:t>
      </w:r>
    </w:p>
    <w:p w14:paraId="35226334">
      <w:pPr>
        <w:pStyle w:val="227"/>
        <w:pageBreakBefore w:val="0"/>
        <w:wordWrap/>
        <w:overflowPunct/>
        <w:topLinePunct w:val="0"/>
        <w:bidi w:val="0"/>
        <w:spacing w:line="520" w:lineRule="exact"/>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6.2 违反《遴选响应承诺函》内容的单位及授权人视为失信人，失信人将列为黑名单，取消其响应开平市中心医院</w:t>
      </w:r>
      <w:r>
        <w:rPr>
          <w:rFonts w:hint="eastAsia" w:ascii="宋体" w:hAnsi="宋体" w:eastAsia="宋体" w:cs="宋体"/>
          <w:sz w:val="24"/>
          <w:szCs w:val="24"/>
          <w:lang w:val="en-US" w:eastAsia="zh-CN"/>
        </w:rPr>
        <w:t>所有遴选项目</w:t>
      </w:r>
      <w:r>
        <w:rPr>
          <w:rFonts w:hint="eastAsia" w:ascii="宋体" w:hAnsi="宋体" w:eastAsia="宋体" w:cs="宋体"/>
          <w:sz w:val="24"/>
          <w:szCs w:val="24"/>
        </w:rPr>
        <w:t>的资格。</w:t>
      </w:r>
    </w:p>
    <w:p w14:paraId="1DFDFFF6">
      <w:pPr>
        <w:pStyle w:val="227"/>
        <w:pageBreakBefore w:val="0"/>
        <w:wordWrap/>
        <w:overflowPunct/>
        <w:topLinePunct w:val="0"/>
        <w:bidi w:val="0"/>
        <w:spacing w:line="520" w:lineRule="exact"/>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6.3其他视为失信人的情况：</w:t>
      </w:r>
    </w:p>
    <w:p w14:paraId="125523A3">
      <w:pPr>
        <w:pStyle w:val="227"/>
        <w:pageBreakBefore w:val="0"/>
        <w:wordWrap/>
        <w:overflowPunct/>
        <w:topLinePunct w:val="0"/>
        <w:bidi w:val="0"/>
        <w:spacing w:line="520" w:lineRule="exact"/>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（1）无故不参与响应或未按时响应的三次及以上；</w:t>
      </w:r>
    </w:p>
    <w:p w14:paraId="2102CF56">
      <w:pPr>
        <w:pageBreakBefore w:val="0"/>
        <w:wordWrap/>
        <w:overflowPunct/>
        <w:topLinePunct w:val="0"/>
        <w:bidi w:val="0"/>
        <w:spacing w:line="520" w:lineRule="exact"/>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（2）撤销遴选响应未在遴选响应截止前24小时内以书面形式通知遴选人三次及以上的；</w:t>
      </w:r>
    </w:p>
    <w:p w14:paraId="3662826E">
      <w:pPr>
        <w:pageBreakBefore w:val="0"/>
        <w:wordWrap/>
        <w:overflowPunct/>
        <w:topLinePunct w:val="0"/>
        <w:bidi w:val="0"/>
        <w:spacing w:line="520" w:lineRule="exact"/>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（3）遴选响应文件出现严重错误给遴选工作带来影响三次及以上的。</w:t>
      </w:r>
    </w:p>
    <w:p w14:paraId="0CA83EA8">
      <w:pPr>
        <w:pStyle w:val="227"/>
        <w:pageBreakBefore w:val="0"/>
        <w:wordWrap/>
        <w:overflowPunct/>
        <w:topLinePunct w:val="0"/>
        <w:bidi w:val="0"/>
        <w:spacing w:line="520" w:lineRule="exact"/>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6.4 报名不足3家供应商时，将依据《开平市中心医院采购管理办法》调整采购方式。</w:t>
      </w:r>
    </w:p>
    <w:p w14:paraId="7BB82D09">
      <w:pPr>
        <w:pageBreakBefore w:val="0"/>
        <w:wordWrap/>
        <w:overflowPunct/>
        <w:topLinePunct w:val="0"/>
        <w:bidi w:val="0"/>
        <w:spacing w:line="520" w:lineRule="exact"/>
        <w:ind w:left="0" w:right="0"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7.注意事项      </w:t>
      </w:r>
      <w:r>
        <w:rPr>
          <w:rFonts w:hint="eastAsia" w:ascii="宋体" w:hAnsi="宋体" w:eastAsia="宋体" w:cs="宋体"/>
          <w:sz w:val="24"/>
          <w:szCs w:val="24"/>
        </w:rPr>
        <w:t xml:space="preserve">            </w:t>
      </w: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14:paraId="7A38E2E1">
      <w:pPr>
        <w:pageBreakBefore w:val="0"/>
        <w:wordWrap/>
        <w:overflowPunct/>
        <w:topLinePunct w:val="0"/>
        <w:bidi w:val="0"/>
        <w:spacing w:line="520" w:lineRule="exact"/>
        <w:ind w:left="0" w:right="0" w:firstLine="480" w:firstLineChars="200"/>
        <w:rPr>
          <w:rFonts w:hint="eastAsia" w:ascii="宋体" w:hAnsi="宋体" w:eastAsia="宋体" w:cs="宋体"/>
          <w:bCs/>
          <w:sz w:val="24"/>
          <w:szCs w:val="24"/>
        </w:rPr>
      </w:pPr>
      <w:r>
        <w:rPr>
          <w:rFonts w:hint="eastAsia" w:ascii="宋体" w:hAnsi="宋体" w:eastAsia="宋体" w:cs="宋体"/>
          <w:bCs/>
          <w:sz w:val="24"/>
          <w:szCs w:val="24"/>
        </w:rPr>
        <w:t>7.1超过遴选产品最高限价按响应无效处理。</w:t>
      </w:r>
    </w:p>
    <w:p w14:paraId="1F9230D4">
      <w:pPr>
        <w:pageBreakBefore w:val="0"/>
        <w:wordWrap/>
        <w:overflowPunct/>
        <w:topLinePunct w:val="0"/>
        <w:bidi w:val="0"/>
        <w:spacing w:line="520" w:lineRule="exact"/>
        <w:ind w:left="0" w:right="0" w:firstLine="480" w:firstLineChars="200"/>
        <w:rPr>
          <w:rFonts w:hint="eastAsia" w:ascii="宋体" w:hAnsi="宋体" w:eastAsia="宋体" w:cs="宋体"/>
          <w:bCs/>
          <w:sz w:val="24"/>
          <w:szCs w:val="24"/>
        </w:rPr>
      </w:pPr>
      <w:r>
        <w:rPr>
          <w:rFonts w:hint="eastAsia" w:ascii="宋体" w:hAnsi="宋体" w:eastAsia="宋体" w:cs="宋体"/>
          <w:bCs/>
          <w:sz w:val="24"/>
          <w:szCs w:val="24"/>
        </w:rPr>
        <w:t>7.2遴选响应产品不满足实质性需求的按响应无效处理。</w:t>
      </w:r>
    </w:p>
    <w:p w14:paraId="2190BF5A">
      <w:pPr>
        <w:pStyle w:val="2"/>
        <w:pageBreakBefore w:val="0"/>
        <w:wordWrap/>
        <w:overflowPunct/>
        <w:topLinePunct w:val="0"/>
        <w:bidi w:val="0"/>
        <w:spacing w:line="520" w:lineRule="exact"/>
        <w:ind w:left="0" w:right="0" w:firstLine="480" w:firstLineChars="200"/>
        <w:rPr>
          <w:rFonts w:hint="eastAsia" w:ascii="宋体" w:hAnsi="宋体" w:eastAsia="宋体" w:cs="宋体"/>
          <w:sz w:val="24"/>
          <w:szCs w:val="24"/>
          <w:lang w:eastAsia="zh-CN"/>
        </w:rPr>
      </w:pPr>
      <w:r>
        <w:rPr>
          <w:rFonts w:hint="eastAsia" w:ascii="宋体" w:hAnsi="宋体" w:eastAsia="宋体" w:cs="宋体"/>
          <w:bCs/>
          <w:sz w:val="24"/>
          <w:szCs w:val="24"/>
        </w:rPr>
        <w:t xml:space="preserve">7.3 </w:t>
      </w:r>
      <w:r>
        <w:rPr>
          <w:rFonts w:hint="eastAsia" w:ascii="宋体" w:hAnsi="宋体" w:eastAsia="宋体" w:cs="宋体"/>
          <w:sz w:val="24"/>
          <w:szCs w:val="24"/>
        </w:rPr>
        <w:t>★标识的为核心参数，如不满足则视为无效投标</w:t>
      </w:r>
      <w:r>
        <w:rPr>
          <w:rFonts w:hint="eastAsia" w:ascii="宋体" w:hAnsi="宋体" w:eastAsia="宋体" w:cs="宋体"/>
          <w:sz w:val="24"/>
          <w:szCs w:val="24"/>
          <w:lang w:eastAsia="zh-CN"/>
        </w:rPr>
        <w:t>。</w:t>
      </w:r>
    </w:p>
    <w:p w14:paraId="1E417C26">
      <w:pPr>
        <w:pageBreakBefore w:val="0"/>
        <w:wordWrap/>
        <w:overflowPunct/>
        <w:topLinePunct w:val="0"/>
        <w:bidi w:val="0"/>
        <w:spacing w:line="520" w:lineRule="exact"/>
        <w:ind w:left="0" w:right="0" w:firstLine="482" w:firstLineChars="200"/>
        <w:rPr>
          <w:rFonts w:hint="eastAsia" w:ascii="宋体" w:hAnsi="宋体" w:eastAsia="宋体" w:cs="宋体"/>
          <w:sz w:val="24"/>
          <w:szCs w:val="24"/>
        </w:rPr>
      </w:pPr>
      <w:r>
        <w:rPr>
          <w:rFonts w:hint="eastAsia" w:ascii="宋体" w:hAnsi="宋体" w:eastAsia="宋体" w:cs="宋体"/>
          <w:b/>
          <w:sz w:val="24"/>
          <w:szCs w:val="24"/>
        </w:rPr>
        <w:t>8</w:t>
      </w:r>
      <w:r>
        <w:rPr>
          <w:rFonts w:hint="eastAsia" w:ascii="宋体" w:hAnsi="宋体" w:eastAsia="宋体" w:cs="宋体"/>
          <w:b/>
          <w:bCs/>
          <w:sz w:val="24"/>
          <w:szCs w:val="24"/>
        </w:rPr>
        <w:t>.</w:t>
      </w:r>
      <w:r>
        <w:rPr>
          <w:rFonts w:hint="eastAsia" w:ascii="宋体" w:hAnsi="宋体" w:eastAsia="宋体" w:cs="宋体"/>
          <w:b/>
          <w:sz w:val="24"/>
          <w:szCs w:val="24"/>
        </w:rPr>
        <w:t>遴选响应文件的制作、装订、密封、标记</w:t>
      </w:r>
    </w:p>
    <w:p w14:paraId="2AC5302B">
      <w:pPr>
        <w:pageBreakBefore w:val="0"/>
        <w:wordWrap/>
        <w:overflowPunct/>
        <w:topLinePunct w:val="0"/>
        <w:bidi w:val="0"/>
        <w:spacing w:line="520" w:lineRule="exact"/>
        <w:ind w:left="0" w:right="0" w:firstLine="480" w:firstLineChars="200"/>
        <w:rPr>
          <w:rFonts w:hint="eastAsia" w:ascii="宋体" w:hAnsi="宋体" w:eastAsia="宋体" w:cs="宋体"/>
          <w:color w:val="FF0000"/>
          <w:sz w:val="24"/>
          <w:szCs w:val="24"/>
        </w:rPr>
      </w:pPr>
      <w:r>
        <w:rPr>
          <w:rFonts w:hint="eastAsia" w:ascii="宋体" w:hAnsi="宋体" w:eastAsia="宋体" w:cs="宋体"/>
          <w:sz w:val="24"/>
          <w:szCs w:val="24"/>
        </w:rPr>
        <w:t>8.1 遴选响应文件必须左侧胶装，不接受其他装订方式</w:t>
      </w:r>
      <w:r>
        <w:rPr>
          <w:rFonts w:hint="eastAsia" w:ascii="宋体" w:hAnsi="宋体" w:eastAsia="宋体" w:cs="宋体"/>
          <w:color w:val="000000"/>
          <w:sz w:val="24"/>
          <w:szCs w:val="24"/>
        </w:rPr>
        <w:t>。</w:t>
      </w:r>
    </w:p>
    <w:p w14:paraId="13CD527D">
      <w:pPr>
        <w:pageBreakBefore w:val="0"/>
        <w:wordWrap/>
        <w:overflowPunct/>
        <w:topLinePunct w:val="0"/>
        <w:bidi w:val="0"/>
        <w:spacing w:line="520" w:lineRule="exact"/>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8.2 遴选响应文件份数：</w:t>
      </w:r>
      <w:r>
        <w:rPr>
          <w:rFonts w:hint="eastAsia" w:ascii="宋体" w:hAnsi="宋体" w:eastAsia="宋体" w:cs="宋体"/>
          <w:b/>
          <w:sz w:val="24"/>
          <w:szCs w:val="24"/>
        </w:rPr>
        <w:t>一正</w:t>
      </w:r>
      <w:r>
        <w:rPr>
          <w:rFonts w:hint="eastAsia" w:ascii="宋体" w:hAnsi="宋体" w:eastAsia="宋体" w:cs="宋体"/>
          <w:b/>
          <w:sz w:val="24"/>
          <w:szCs w:val="24"/>
          <w:lang w:val="en-US" w:eastAsia="zh-CN"/>
        </w:rPr>
        <w:t>二</w:t>
      </w:r>
      <w:r>
        <w:rPr>
          <w:rFonts w:hint="eastAsia" w:ascii="宋体" w:hAnsi="宋体" w:eastAsia="宋体" w:cs="宋体"/>
          <w:b/>
          <w:sz w:val="24"/>
          <w:szCs w:val="24"/>
        </w:rPr>
        <w:t>副</w:t>
      </w:r>
      <w:r>
        <w:rPr>
          <w:rFonts w:hint="eastAsia" w:ascii="宋体" w:hAnsi="宋体" w:eastAsia="宋体" w:cs="宋体"/>
          <w:sz w:val="24"/>
          <w:szCs w:val="24"/>
        </w:rPr>
        <w:t>，并在遴选响应文件右上角处明显标注“正本或副本”字样。</w:t>
      </w:r>
    </w:p>
    <w:p w14:paraId="1F5A7F9F">
      <w:pPr>
        <w:pageBreakBefore w:val="0"/>
        <w:wordWrap/>
        <w:overflowPunct/>
        <w:topLinePunct w:val="0"/>
        <w:bidi w:val="0"/>
        <w:spacing w:line="520" w:lineRule="exact"/>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8.3将遴选响应文件中所需的文件按照顺序进行装订，副本可为正本复印件。</w:t>
      </w:r>
    </w:p>
    <w:p w14:paraId="0C489CA2">
      <w:pPr>
        <w:pageBreakBefore w:val="0"/>
        <w:wordWrap/>
        <w:overflowPunct/>
        <w:topLinePunct w:val="0"/>
        <w:bidi w:val="0"/>
        <w:spacing w:line="520" w:lineRule="exact"/>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8.4 正本单独密封，所有副本可一起密封，所有密封封皮上注明产品名称及遴选响应人名称，并加盖骑缝章。</w:t>
      </w:r>
    </w:p>
    <w:p w14:paraId="3C378293">
      <w:pPr>
        <w:pageBreakBefore w:val="0"/>
        <w:wordWrap/>
        <w:overflowPunct/>
        <w:topLinePunct w:val="0"/>
        <w:bidi w:val="0"/>
        <w:spacing w:line="520" w:lineRule="exact"/>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8.5 以上所需文件正本均需逐页加盖遴选响应人公章（红章），副本可为正本复印件,封面须盖公章。</w:t>
      </w:r>
    </w:p>
    <w:p w14:paraId="2ECFBBF4">
      <w:pPr>
        <w:pageBreakBefore w:val="0"/>
        <w:wordWrap/>
        <w:overflowPunct/>
        <w:topLinePunct w:val="0"/>
        <w:bidi w:val="0"/>
        <w:spacing w:line="520" w:lineRule="exact"/>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8.6 所有密封口处均应用封条密封并加盖遴选响应人公章和法定代表人或其委托代理人印章或签字。</w:t>
      </w:r>
    </w:p>
    <w:p w14:paraId="66EF3A4A">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rPr>
        <w:t>备注：遴选响应文件中的格式文件，请遴选响应人必须按照遴选文件提供的格式文件进行提供，不得进行修改、涂抹、删除等，否则将按响应无效处理。</w:t>
      </w:r>
    </w:p>
    <w:p w14:paraId="19E7776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p>
    <w:bookmarkEnd w:id="24"/>
    <w:bookmarkEnd w:id="25"/>
    <w:bookmarkEnd w:id="26"/>
    <w:bookmarkEnd w:id="27"/>
    <w:bookmarkEnd w:id="28"/>
    <w:bookmarkEnd w:id="29"/>
    <w:p w14:paraId="7F259326">
      <w:pPr>
        <w:pStyle w:val="2"/>
        <w:spacing w:line="360" w:lineRule="auto"/>
        <w:ind w:firstLine="480" w:firstLineChars="200"/>
        <w:rPr>
          <w:rFonts w:hint="eastAsia" w:ascii="宋体" w:hAnsi="宋体" w:eastAsia="宋体" w:cs="宋体"/>
          <w:bCs/>
          <w:sz w:val="24"/>
        </w:rPr>
      </w:pPr>
    </w:p>
    <w:p w14:paraId="46F9E0A9">
      <w:pPr>
        <w:rPr>
          <w:rFonts w:hint="eastAsia"/>
        </w:rPr>
      </w:pPr>
    </w:p>
    <w:p w14:paraId="53DDA10A">
      <w:pPr>
        <w:spacing w:line="360" w:lineRule="auto"/>
        <w:ind w:firstLine="480" w:firstLineChars="200"/>
        <w:jc w:val="righ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开平市中心医院</w:t>
      </w:r>
    </w:p>
    <w:p w14:paraId="11A6FAE9">
      <w:pPr>
        <w:pageBreakBefore w:val="0"/>
        <w:kinsoku/>
        <w:wordWrap/>
        <w:overflowPunct/>
        <w:topLinePunct w:val="0"/>
        <w:autoSpaceDE/>
        <w:autoSpaceDN/>
        <w:bidi w:val="0"/>
        <w:snapToGrid/>
        <w:spacing w:line="360" w:lineRule="auto"/>
        <w:ind w:left="0"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29</w:t>
      </w:r>
      <w:r>
        <w:rPr>
          <w:rFonts w:hint="eastAsia" w:ascii="宋体" w:hAnsi="宋体" w:eastAsia="宋体" w:cs="宋体"/>
          <w:sz w:val="24"/>
          <w:szCs w:val="24"/>
          <w:highlight w:val="none"/>
        </w:rPr>
        <w:t>日</w:t>
      </w:r>
    </w:p>
    <w:p w14:paraId="4E830B66">
      <w:pPr>
        <w:spacing w:line="360" w:lineRule="auto"/>
        <w:ind w:left="160"/>
        <w:jc w:val="right"/>
        <w:rPr>
          <w:rFonts w:ascii="Times New Roman"/>
          <w:sz w:val="36"/>
          <w:szCs w:val="28"/>
        </w:rPr>
      </w:pPr>
      <w:r>
        <w:br w:type="page"/>
      </w:r>
      <w:bookmarkEnd w:id="11"/>
      <w:bookmarkEnd w:id="12"/>
      <w:bookmarkEnd w:id="13"/>
      <w:bookmarkEnd w:id="14"/>
      <w:bookmarkEnd w:id="15"/>
      <w:bookmarkEnd w:id="16"/>
      <w:bookmarkEnd w:id="17"/>
      <w:bookmarkEnd w:id="18"/>
      <w:bookmarkEnd w:id="19"/>
      <w:bookmarkStart w:id="34" w:name="_Toc51756452"/>
      <w:bookmarkStart w:id="35" w:name="_Toc52021499"/>
      <w:bookmarkStart w:id="36" w:name="_Toc51939417"/>
      <w:bookmarkStart w:id="37" w:name="_Toc52027886"/>
      <w:bookmarkStart w:id="38" w:name="_Toc56352971"/>
      <w:bookmarkStart w:id="39" w:name="_Toc476976155"/>
      <w:bookmarkStart w:id="40" w:name="_Toc467236723"/>
      <w:bookmarkStart w:id="41" w:name="_Toc169861813"/>
      <w:bookmarkStart w:id="42" w:name="_Toc458262598"/>
      <w:bookmarkStart w:id="43" w:name="_Toc486671527"/>
    </w:p>
    <w:p w14:paraId="53445917">
      <w:pPr>
        <w:pStyle w:val="3"/>
        <w:keepNext w:val="0"/>
        <w:keepLines w:val="0"/>
        <w:spacing w:before="0" w:after="0" w:line="360" w:lineRule="auto"/>
        <w:jc w:val="center"/>
        <w:rPr>
          <w:rFonts w:ascii="Times New Roman"/>
          <w:sz w:val="36"/>
          <w:szCs w:val="28"/>
        </w:rPr>
      </w:pPr>
      <w:r>
        <w:rPr>
          <w:rFonts w:ascii="Times New Roman"/>
          <w:sz w:val="36"/>
          <w:szCs w:val="28"/>
        </w:rPr>
        <w:t>第</w:t>
      </w:r>
      <w:r>
        <w:rPr>
          <w:rFonts w:hint="eastAsia" w:ascii="Times New Roman"/>
          <w:sz w:val="36"/>
          <w:szCs w:val="28"/>
          <w:lang w:val="en-US" w:eastAsia="zh-CN"/>
        </w:rPr>
        <w:t>二</w:t>
      </w:r>
      <w:r>
        <w:rPr>
          <w:rFonts w:ascii="Times New Roman"/>
          <w:sz w:val="36"/>
          <w:szCs w:val="28"/>
        </w:rPr>
        <w:t>部分</w:t>
      </w:r>
      <w:bookmarkEnd w:id="34"/>
      <w:bookmarkEnd w:id="35"/>
      <w:bookmarkEnd w:id="36"/>
      <w:bookmarkEnd w:id="37"/>
      <w:bookmarkEnd w:id="38"/>
      <w:r>
        <w:rPr>
          <w:rFonts w:ascii="Times New Roman"/>
          <w:sz w:val="36"/>
          <w:szCs w:val="28"/>
        </w:rPr>
        <w:t xml:space="preserve">  供应商须知</w:t>
      </w:r>
      <w:bookmarkEnd w:id="39"/>
      <w:bookmarkEnd w:id="40"/>
      <w:bookmarkEnd w:id="41"/>
      <w:bookmarkEnd w:id="42"/>
      <w:bookmarkEnd w:id="43"/>
    </w:p>
    <w:p w14:paraId="114CF083">
      <w:pPr>
        <w:pStyle w:val="4"/>
        <w:keepNext w:val="0"/>
        <w:keepLines w:val="0"/>
        <w:spacing w:before="120" w:beforeLines="50" w:after="0" w:line="360" w:lineRule="auto"/>
        <w:jc w:val="center"/>
        <w:rPr>
          <w:rFonts w:ascii="Times New Roman" w:hAnsi="Times New Roman" w:eastAsia="宋体"/>
          <w:sz w:val="24"/>
          <w:szCs w:val="21"/>
        </w:rPr>
      </w:pPr>
      <w:bookmarkStart w:id="44" w:name="_Toc102277756"/>
      <w:bookmarkStart w:id="45" w:name="_Toc6968687"/>
      <w:bookmarkStart w:id="46" w:name="_Toc6882675"/>
      <w:bookmarkStart w:id="47" w:name="_Toc507407359"/>
      <w:bookmarkStart w:id="48" w:name="_Toc466786434"/>
      <w:bookmarkStart w:id="49" w:name="_Toc169861814"/>
      <w:bookmarkStart w:id="50" w:name="_Toc458262599"/>
      <w:bookmarkStart w:id="51" w:name="_Toc480010692"/>
      <w:bookmarkStart w:id="52" w:name="_Toc479991566"/>
      <w:bookmarkStart w:id="53" w:name="_Toc467236724"/>
      <w:bookmarkStart w:id="54" w:name="_Toc48207756"/>
      <w:bookmarkStart w:id="55" w:name="_Toc468157520"/>
      <w:bookmarkStart w:id="56" w:name="_Toc468606013"/>
      <w:bookmarkStart w:id="57" w:name="_Toc480171863"/>
      <w:bookmarkStart w:id="58" w:name="_Toc467987807"/>
      <w:bookmarkStart w:id="59" w:name="_Toc480021037"/>
      <w:bookmarkStart w:id="60" w:name="_Toc480020241"/>
      <w:r>
        <w:rPr>
          <w:rFonts w:ascii="Times New Roman" w:hAnsi="Times New Roman" w:eastAsia="宋体"/>
          <w:sz w:val="24"/>
          <w:szCs w:val="21"/>
        </w:rPr>
        <w:t>一、说  明</w:t>
      </w:r>
      <w:bookmarkEnd w:id="44"/>
      <w:bookmarkEnd w:id="45"/>
      <w:bookmarkEnd w:id="46"/>
      <w:bookmarkEnd w:id="47"/>
      <w:bookmarkEnd w:id="48"/>
      <w:bookmarkEnd w:id="49"/>
    </w:p>
    <w:p w14:paraId="009F87BD">
      <w:pPr>
        <w:pStyle w:val="6"/>
        <w:keepNext w:val="0"/>
        <w:keepLines w:val="0"/>
        <w:adjustRightInd/>
        <w:spacing w:before="0" w:after="0" w:line="360" w:lineRule="auto"/>
        <w:ind w:firstLine="482" w:firstLineChars="200"/>
        <w:rPr>
          <w:rFonts w:ascii="Times New Roman"/>
          <w:b w:val="0"/>
          <w:sz w:val="24"/>
          <w:szCs w:val="21"/>
        </w:rPr>
      </w:pPr>
      <w:bookmarkStart w:id="61" w:name="_Toc475249114"/>
      <w:r>
        <w:rPr>
          <w:rFonts w:ascii="Times New Roman"/>
          <w:sz w:val="24"/>
          <w:szCs w:val="21"/>
        </w:rPr>
        <w:t>1.适用范围</w:t>
      </w:r>
      <w:bookmarkEnd w:id="61"/>
    </w:p>
    <w:p w14:paraId="013B14B2">
      <w:pPr>
        <w:autoSpaceDE w:val="0"/>
        <w:autoSpaceDN w:val="0"/>
        <w:spacing w:line="360" w:lineRule="auto"/>
        <w:ind w:firstLine="480" w:firstLineChars="200"/>
        <w:jc w:val="left"/>
        <w:textAlignment w:val="baseline"/>
        <w:rPr>
          <w:rFonts w:eastAsia="宋体"/>
          <w:sz w:val="24"/>
          <w:szCs w:val="21"/>
        </w:rPr>
      </w:pPr>
      <w:r>
        <w:rPr>
          <w:rFonts w:eastAsia="宋体"/>
          <w:sz w:val="24"/>
          <w:szCs w:val="21"/>
        </w:rPr>
        <w:t>1.1本</w:t>
      </w:r>
      <w:r>
        <w:rPr>
          <w:rFonts w:hint="eastAsia" w:eastAsia="宋体"/>
          <w:sz w:val="24"/>
          <w:szCs w:val="21"/>
          <w:lang w:eastAsia="zh-CN"/>
        </w:rPr>
        <w:t>遴选</w:t>
      </w:r>
      <w:r>
        <w:rPr>
          <w:rFonts w:eastAsia="宋体"/>
          <w:sz w:val="24"/>
          <w:szCs w:val="21"/>
        </w:rPr>
        <w:t>文件仅适用于本次采购邀请中所叙述的项目。</w:t>
      </w:r>
    </w:p>
    <w:p w14:paraId="4B0009B6">
      <w:pPr>
        <w:autoSpaceDE w:val="0"/>
        <w:autoSpaceDN w:val="0"/>
        <w:spacing w:line="360" w:lineRule="auto"/>
        <w:ind w:firstLine="480" w:firstLineChars="200"/>
        <w:jc w:val="left"/>
        <w:textAlignment w:val="baseline"/>
        <w:rPr>
          <w:rFonts w:eastAsia="宋体"/>
          <w:sz w:val="24"/>
          <w:szCs w:val="21"/>
        </w:rPr>
      </w:pPr>
      <w:r>
        <w:rPr>
          <w:rFonts w:eastAsia="宋体"/>
          <w:sz w:val="24"/>
          <w:szCs w:val="21"/>
        </w:rPr>
        <w:t>1.2本</w:t>
      </w:r>
      <w:r>
        <w:rPr>
          <w:rFonts w:hint="eastAsia" w:eastAsia="宋体"/>
          <w:sz w:val="24"/>
          <w:szCs w:val="21"/>
          <w:lang w:eastAsia="zh-CN"/>
        </w:rPr>
        <w:t>遴选</w:t>
      </w:r>
      <w:r>
        <w:rPr>
          <w:rFonts w:eastAsia="宋体"/>
          <w:sz w:val="24"/>
          <w:szCs w:val="21"/>
        </w:rPr>
        <w:t>文件的解释权</w:t>
      </w:r>
      <w:r>
        <w:rPr>
          <w:rFonts w:hint="eastAsia" w:eastAsia="宋体"/>
          <w:sz w:val="24"/>
          <w:szCs w:val="21"/>
        </w:rPr>
        <w:t>归</w:t>
      </w:r>
      <w:r>
        <w:rPr>
          <w:rFonts w:eastAsia="宋体"/>
          <w:sz w:val="24"/>
          <w:szCs w:val="21"/>
        </w:rPr>
        <w:t>采购</w:t>
      </w:r>
      <w:r>
        <w:rPr>
          <w:rFonts w:hint="eastAsia" w:eastAsia="宋体"/>
          <w:sz w:val="24"/>
          <w:szCs w:val="21"/>
          <w:lang w:val="en-US" w:eastAsia="zh-CN"/>
        </w:rPr>
        <w:t>人</w:t>
      </w:r>
      <w:r>
        <w:rPr>
          <w:rFonts w:hint="eastAsia" w:eastAsia="宋体"/>
          <w:sz w:val="24"/>
          <w:szCs w:val="21"/>
        </w:rPr>
        <w:t>所有</w:t>
      </w:r>
      <w:r>
        <w:rPr>
          <w:rFonts w:eastAsia="宋体"/>
          <w:sz w:val="24"/>
          <w:szCs w:val="21"/>
        </w:rPr>
        <w:t>。</w:t>
      </w:r>
    </w:p>
    <w:p w14:paraId="14FF482F">
      <w:pPr>
        <w:pStyle w:val="6"/>
        <w:keepNext w:val="0"/>
        <w:keepLines w:val="0"/>
        <w:adjustRightInd/>
        <w:spacing w:before="0" w:after="0" w:line="360" w:lineRule="auto"/>
        <w:ind w:firstLine="482" w:firstLineChars="200"/>
        <w:rPr>
          <w:rFonts w:ascii="Times New Roman"/>
          <w:b w:val="0"/>
          <w:sz w:val="24"/>
          <w:szCs w:val="21"/>
        </w:rPr>
      </w:pPr>
      <w:bookmarkStart w:id="62" w:name="_Toc475249115"/>
      <w:r>
        <w:rPr>
          <w:rFonts w:ascii="Times New Roman"/>
          <w:sz w:val="24"/>
          <w:szCs w:val="21"/>
        </w:rPr>
        <w:t>2.定义</w:t>
      </w:r>
      <w:bookmarkEnd w:id="62"/>
    </w:p>
    <w:p w14:paraId="3ADDC5AA">
      <w:pPr>
        <w:spacing w:line="360" w:lineRule="auto"/>
        <w:ind w:firstLine="480" w:firstLineChars="200"/>
        <w:outlineLvl w:val="3"/>
        <w:rPr>
          <w:rFonts w:ascii="宋体" w:hAnsi="宋体" w:eastAsia="宋体"/>
          <w:sz w:val="24"/>
          <w:szCs w:val="21"/>
        </w:rPr>
      </w:pPr>
      <w:r>
        <w:rPr>
          <w:rFonts w:eastAsia="宋体"/>
          <w:sz w:val="24"/>
          <w:szCs w:val="21"/>
        </w:rPr>
        <w:t>2.1“采购人”是指</w:t>
      </w:r>
      <w:r>
        <w:rPr>
          <w:rFonts w:hint="eastAsia" w:ascii="宋体" w:hAnsi="宋体" w:eastAsia="宋体"/>
          <w:sz w:val="24"/>
          <w:szCs w:val="21"/>
        </w:rPr>
        <w:t>开平市中心医院</w:t>
      </w:r>
      <w:r>
        <w:rPr>
          <w:rFonts w:ascii="宋体" w:hAnsi="宋体" w:eastAsia="宋体"/>
          <w:sz w:val="24"/>
          <w:szCs w:val="21"/>
        </w:rPr>
        <w:t>。</w:t>
      </w:r>
    </w:p>
    <w:p w14:paraId="520CF8FD">
      <w:pPr>
        <w:spacing w:line="360" w:lineRule="auto"/>
        <w:ind w:firstLine="480" w:firstLineChars="200"/>
        <w:rPr>
          <w:rFonts w:eastAsia="宋体"/>
          <w:sz w:val="24"/>
          <w:szCs w:val="21"/>
        </w:rPr>
      </w:pPr>
      <w:r>
        <w:rPr>
          <w:rFonts w:eastAsia="宋体"/>
          <w:sz w:val="24"/>
          <w:szCs w:val="21"/>
        </w:rPr>
        <w:t>2.</w:t>
      </w:r>
      <w:r>
        <w:rPr>
          <w:rFonts w:hint="eastAsia" w:eastAsia="宋体"/>
          <w:sz w:val="24"/>
          <w:szCs w:val="21"/>
          <w:lang w:val="en-US" w:eastAsia="zh-CN"/>
        </w:rPr>
        <w:t>2</w:t>
      </w:r>
      <w:r>
        <w:rPr>
          <w:rFonts w:eastAsia="宋体"/>
          <w:sz w:val="24"/>
          <w:szCs w:val="21"/>
        </w:rPr>
        <w:t>“供应商”指向采购</w:t>
      </w:r>
      <w:r>
        <w:rPr>
          <w:rFonts w:hint="eastAsia" w:eastAsia="宋体"/>
          <w:sz w:val="24"/>
          <w:szCs w:val="21"/>
          <w:lang w:val="en-US" w:eastAsia="zh-CN"/>
        </w:rPr>
        <w:t>人</w:t>
      </w:r>
      <w:r>
        <w:rPr>
          <w:rFonts w:eastAsia="宋体"/>
          <w:sz w:val="24"/>
          <w:szCs w:val="21"/>
        </w:rPr>
        <w:t>提交响应文件的法人、其他组织或自然人。</w:t>
      </w:r>
    </w:p>
    <w:p w14:paraId="3EA5902A">
      <w:pPr>
        <w:spacing w:line="360" w:lineRule="auto"/>
        <w:ind w:firstLine="480" w:firstLineChars="200"/>
        <w:rPr>
          <w:rFonts w:eastAsia="宋体"/>
          <w:sz w:val="24"/>
          <w:szCs w:val="21"/>
        </w:rPr>
      </w:pPr>
      <w:r>
        <w:rPr>
          <w:rFonts w:eastAsia="宋体"/>
          <w:sz w:val="24"/>
          <w:szCs w:val="21"/>
        </w:rPr>
        <w:t>2.</w:t>
      </w:r>
      <w:r>
        <w:rPr>
          <w:rFonts w:hint="eastAsia" w:eastAsia="宋体"/>
          <w:sz w:val="24"/>
          <w:szCs w:val="21"/>
          <w:lang w:val="en-US" w:eastAsia="zh-CN"/>
        </w:rPr>
        <w:t>3</w:t>
      </w:r>
      <w:r>
        <w:rPr>
          <w:rFonts w:eastAsia="宋体"/>
          <w:sz w:val="24"/>
          <w:szCs w:val="21"/>
        </w:rPr>
        <w:t>服务：</w:t>
      </w:r>
      <w:r>
        <w:rPr>
          <w:rFonts w:hint="eastAsia" w:eastAsia="宋体"/>
          <w:sz w:val="24"/>
          <w:szCs w:val="21"/>
          <w:lang w:eastAsia="zh-CN"/>
        </w:rPr>
        <w:t>遴选</w:t>
      </w:r>
      <w:r>
        <w:rPr>
          <w:rFonts w:eastAsia="宋体"/>
          <w:sz w:val="24"/>
          <w:szCs w:val="21"/>
        </w:rPr>
        <w:t>文件规定卖方必须承担的咨询、技术协助及其它相关义务。</w:t>
      </w:r>
    </w:p>
    <w:p w14:paraId="7E4A9F14">
      <w:pPr>
        <w:spacing w:line="360" w:lineRule="auto"/>
        <w:ind w:firstLine="480" w:firstLineChars="200"/>
        <w:rPr>
          <w:rFonts w:eastAsia="宋体"/>
          <w:sz w:val="24"/>
          <w:szCs w:val="21"/>
        </w:rPr>
      </w:pPr>
      <w:r>
        <w:rPr>
          <w:rFonts w:eastAsia="宋体"/>
          <w:sz w:val="24"/>
          <w:szCs w:val="21"/>
        </w:rPr>
        <w:t>2.</w:t>
      </w:r>
      <w:r>
        <w:rPr>
          <w:rFonts w:hint="eastAsia" w:eastAsia="宋体"/>
          <w:sz w:val="24"/>
          <w:szCs w:val="21"/>
          <w:lang w:val="en-US" w:eastAsia="zh-CN"/>
        </w:rPr>
        <w:t>4</w:t>
      </w:r>
      <w:r>
        <w:rPr>
          <w:rFonts w:eastAsia="宋体"/>
          <w:sz w:val="24"/>
          <w:szCs w:val="21"/>
        </w:rPr>
        <w:t>语言：采购文件的语言为简体中文。</w:t>
      </w:r>
    </w:p>
    <w:p w14:paraId="16AEDF45">
      <w:pPr>
        <w:spacing w:line="360" w:lineRule="auto"/>
        <w:ind w:firstLine="480" w:firstLineChars="200"/>
        <w:rPr>
          <w:rFonts w:eastAsia="宋体"/>
          <w:sz w:val="24"/>
          <w:szCs w:val="21"/>
        </w:rPr>
      </w:pPr>
      <w:r>
        <w:rPr>
          <w:rFonts w:eastAsia="宋体"/>
          <w:sz w:val="24"/>
          <w:szCs w:val="21"/>
        </w:rPr>
        <w:t>2.</w:t>
      </w:r>
      <w:r>
        <w:rPr>
          <w:rFonts w:hint="eastAsia" w:eastAsia="宋体"/>
          <w:sz w:val="24"/>
          <w:szCs w:val="21"/>
          <w:lang w:val="en-US" w:eastAsia="zh-CN"/>
        </w:rPr>
        <w:t>5</w:t>
      </w:r>
      <w:r>
        <w:rPr>
          <w:rFonts w:eastAsia="宋体"/>
          <w:sz w:val="24"/>
          <w:szCs w:val="21"/>
        </w:rPr>
        <w:t>日期：指公历日。</w:t>
      </w:r>
    </w:p>
    <w:p w14:paraId="3CB2DA88">
      <w:pPr>
        <w:spacing w:line="360" w:lineRule="auto"/>
        <w:ind w:firstLine="480" w:firstLineChars="200"/>
        <w:rPr>
          <w:rFonts w:eastAsia="宋体"/>
          <w:sz w:val="24"/>
          <w:szCs w:val="21"/>
        </w:rPr>
      </w:pPr>
      <w:r>
        <w:rPr>
          <w:rFonts w:eastAsia="宋体"/>
          <w:sz w:val="24"/>
          <w:szCs w:val="21"/>
        </w:rPr>
        <w:t>2.</w:t>
      </w:r>
      <w:r>
        <w:rPr>
          <w:rFonts w:hint="eastAsia" w:eastAsia="宋体"/>
          <w:sz w:val="24"/>
          <w:szCs w:val="21"/>
          <w:lang w:val="en-US" w:eastAsia="zh-CN"/>
        </w:rPr>
        <w:t>6</w:t>
      </w:r>
      <w:r>
        <w:rPr>
          <w:rFonts w:eastAsia="宋体"/>
          <w:sz w:val="24"/>
          <w:szCs w:val="21"/>
        </w:rPr>
        <w:t>时间：指北京时间。</w:t>
      </w:r>
    </w:p>
    <w:p w14:paraId="293E115F">
      <w:pPr>
        <w:pStyle w:val="6"/>
        <w:keepNext w:val="0"/>
        <w:keepLines w:val="0"/>
        <w:adjustRightInd/>
        <w:spacing w:before="0" w:after="0" w:line="360" w:lineRule="auto"/>
        <w:ind w:firstLine="482" w:firstLineChars="200"/>
        <w:rPr>
          <w:rFonts w:ascii="Times New Roman"/>
          <w:sz w:val="24"/>
          <w:szCs w:val="21"/>
        </w:rPr>
      </w:pPr>
      <w:bookmarkStart w:id="63" w:name="_Toc110953831"/>
      <w:bookmarkStart w:id="64" w:name="_Toc466786435"/>
      <w:bookmarkStart w:id="65" w:name="_Toc6968688"/>
      <w:bookmarkStart w:id="66" w:name="_Toc6882676"/>
      <w:bookmarkStart w:id="67" w:name="_Toc507407360"/>
      <w:bookmarkStart w:id="68" w:name="_Toc102277757"/>
      <w:r>
        <w:rPr>
          <w:rFonts w:ascii="Times New Roman"/>
          <w:sz w:val="24"/>
          <w:szCs w:val="21"/>
        </w:rPr>
        <w:t>3.适用法律</w:t>
      </w:r>
      <w:bookmarkEnd w:id="63"/>
    </w:p>
    <w:p w14:paraId="1778FFC4">
      <w:pPr>
        <w:spacing w:line="360" w:lineRule="auto"/>
        <w:ind w:firstLine="480" w:firstLineChars="200"/>
        <w:rPr>
          <w:rFonts w:eastAsia="宋体"/>
          <w:sz w:val="24"/>
          <w:szCs w:val="21"/>
        </w:rPr>
      </w:pPr>
      <w:r>
        <w:rPr>
          <w:rFonts w:eastAsia="宋体"/>
          <w:sz w:val="24"/>
          <w:szCs w:val="21"/>
        </w:rPr>
        <w:t>采购人</w:t>
      </w:r>
      <w:r>
        <w:rPr>
          <w:rFonts w:hint="eastAsia" w:eastAsia="宋体"/>
          <w:sz w:val="24"/>
          <w:szCs w:val="21"/>
          <w:lang w:val="en-US" w:eastAsia="zh-CN"/>
        </w:rPr>
        <w:t>和</w:t>
      </w:r>
      <w:r>
        <w:rPr>
          <w:rFonts w:eastAsia="宋体"/>
          <w:sz w:val="24"/>
          <w:szCs w:val="21"/>
        </w:rPr>
        <w:t>供应商均应当遵守《中华人民共和国政府采购法》、《中华人民共和国政府采购法实施条例》及相关法律法规。</w:t>
      </w:r>
    </w:p>
    <w:p w14:paraId="2C383FD7">
      <w:pPr>
        <w:pStyle w:val="6"/>
        <w:keepNext w:val="0"/>
        <w:keepLines w:val="0"/>
        <w:adjustRightInd/>
        <w:spacing w:before="0" w:after="0" w:line="360" w:lineRule="auto"/>
        <w:ind w:firstLine="482" w:firstLineChars="200"/>
        <w:rPr>
          <w:rFonts w:ascii="Times New Roman"/>
          <w:b w:val="0"/>
          <w:sz w:val="24"/>
          <w:szCs w:val="21"/>
        </w:rPr>
      </w:pPr>
      <w:bookmarkStart w:id="69" w:name="_Toc110953832"/>
      <w:r>
        <w:rPr>
          <w:rFonts w:ascii="Times New Roman"/>
          <w:sz w:val="24"/>
          <w:szCs w:val="21"/>
        </w:rPr>
        <w:t>4.知识产权</w:t>
      </w:r>
      <w:bookmarkEnd w:id="69"/>
    </w:p>
    <w:p w14:paraId="485CA9BF">
      <w:pPr>
        <w:spacing w:line="360" w:lineRule="auto"/>
        <w:ind w:firstLine="480" w:firstLineChars="200"/>
        <w:rPr>
          <w:rFonts w:eastAsia="宋体"/>
          <w:sz w:val="24"/>
          <w:szCs w:val="21"/>
        </w:rPr>
      </w:pPr>
      <w:r>
        <w:rPr>
          <w:rFonts w:eastAsia="宋体"/>
          <w:sz w:val="24"/>
          <w:szCs w:val="21"/>
        </w:rPr>
        <w:t>4.1供应商应当保证，采购人在中华人民共和国境内使用货物或货物的任何一部分时，采购人免受第三方提出侵犯其专利权、商标权或其它知识产权的起诉。</w:t>
      </w:r>
    </w:p>
    <w:p w14:paraId="648ADF34">
      <w:pPr>
        <w:spacing w:line="360" w:lineRule="auto"/>
        <w:ind w:firstLine="480" w:firstLineChars="200"/>
        <w:rPr>
          <w:rFonts w:eastAsia="宋体"/>
          <w:sz w:val="24"/>
          <w:szCs w:val="21"/>
        </w:rPr>
      </w:pPr>
      <w:r>
        <w:rPr>
          <w:rFonts w:eastAsia="宋体"/>
          <w:sz w:val="24"/>
          <w:szCs w:val="21"/>
        </w:rPr>
        <w:t>4.2最终确定的政府采购合同价格包括所有应支付的对专利权和版权、设计或其他知识产权而需要向其他方支付的版税。</w:t>
      </w:r>
    </w:p>
    <w:p w14:paraId="696298B4">
      <w:pPr>
        <w:spacing w:line="360" w:lineRule="auto"/>
        <w:ind w:firstLine="480" w:firstLineChars="200"/>
        <w:rPr>
          <w:rFonts w:eastAsia="宋体"/>
          <w:sz w:val="24"/>
          <w:szCs w:val="21"/>
        </w:rPr>
      </w:pPr>
      <w:r>
        <w:rPr>
          <w:rFonts w:eastAsia="宋体"/>
          <w:sz w:val="24"/>
          <w:szCs w:val="21"/>
        </w:rPr>
        <w:t>4.3供应商不拥有响应的知识产权的，则在响应（</w:t>
      </w:r>
      <w:r>
        <w:rPr>
          <w:rFonts w:hint="eastAsia" w:eastAsia="宋体"/>
          <w:sz w:val="24"/>
          <w:szCs w:val="21"/>
          <w:lang w:eastAsia="zh-CN"/>
        </w:rPr>
        <w:t>遴选</w:t>
      </w:r>
      <w:r>
        <w:rPr>
          <w:rFonts w:eastAsia="宋体"/>
          <w:sz w:val="24"/>
          <w:szCs w:val="21"/>
        </w:rPr>
        <w:t>）报价中必须包括有合法获取该知识产权的相关费用，否则，由此而产生的一切法律和经济纠纷由供应商承担责任。</w:t>
      </w:r>
    </w:p>
    <w:p w14:paraId="58FD0EFD">
      <w:pPr>
        <w:pStyle w:val="6"/>
        <w:keepNext w:val="0"/>
        <w:keepLines w:val="0"/>
        <w:adjustRightInd/>
        <w:spacing w:before="0" w:after="0" w:line="360" w:lineRule="auto"/>
        <w:ind w:firstLine="482" w:firstLineChars="200"/>
        <w:rPr>
          <w:rFonts w:ascii="Times New Roman"/>
          <w:b w:val="0"/>
          <w:bCs/>
          <w:sz w:val="24"/>
          <w:szCs w:val="21"/>
        </w:rPr>
      </w:pPr>
      <w:bookmarkStart w:id="70" w:name="_Toc110953833"/>
      <w:r>
        <w:rPr>
          <w:rFonts w:ascii="Times New Roman"/>
          <w:sz w:val="24"/>
          <w:szCs w:val="21"/>
        </w:rPr>
        <w:t>5.禁止事项</w:t>
      </w:r>
      <w:bookmarkEnd w:id="70"/>
    </w:p>
    <w:p w14:paraId="26A3EC24">
      <w:pPr>
        <w:spacing w:line="360" w:lineRule="auto"/>
        <w:ind w:firstLine="480" w:firstLineChars="200"/>
        <w:rPr>
          <w:rFonts w:eastAsia="宋体"/>
          <w:sz w:val="24"/>
          <w:szCs w:val="21"/>
        </w:rPr>
      </w:pPr>
      <w:bookmarkStart w:id="71" w:name="_Toc98126293"/>
      <w:bookmarkStart w:id="72" w:name="_Toc98126218"/>
      <w:r>
        <w:rPr>
          <w:rFonts w:eastAsia="宋体"/>
          <w:sz w:val="24"/>
          <w:szCs w:val="21"/>
        </w:rPr>
        <w:t>5.1采购人</w:t>
      </w:r>
      <w:r>
        <w:rPr>
          <w:rFonts w:hint="eastAsia" w:eastAsia="宋体"/>
          <w:sz w:val="24"/>
          <w:szCs w:val="21"/>
          <w:lang w:val="en-US" w:eastAsia="zh-CN"/>
        </w:rPr>
        <w:t>和</w:t>
      </w:r>
      <w:r>
        <w:rPr>
          <w:rFonts w:eastAsia="宋体"/>
          <w:sz w:val="24"/>
          <w:szCs w:val="21"/>
        </w:rPr>
        <w:t>供应商不得相互串通损害国家利益、社会公共利益和其他当事人的合法权益。</w:t>
      </w:r>
    </w:p>
    <w:p w14:paraId="5FE58509">
      <w:pPr>
        <w:spacing w:line="360" w:lineRule="auto"/>
        <w:ind w:firstLine="480" w:firstLineChars="200"/>
        <w:rPr>
          <w:rFonts w:eastAsia="宋体"/>
          <w:sz w:val="24"/>
          <w:szCs w:val="21"/>
        </w:rPr>
      </w:pPr>
      <w:r>
        <w:rPr>
          <w:rFonts w:eastAsia="宋体"/>
          <w:sz w:val="24"/>
          <w:szCs w:val="21"/>
        </w:rPr>
        <w:t>5.2供应商不得向采购人、</w:t>
      </w:r>
      <w:r>
        <w:rPr>
          <w:rFonts w:hint="eastAsia" w:eastAsia="宋体"/>
          <w:sz w:val="24"/>
          <w:szCs w:val="21"/>
          <w:lang w:eastAsia="zh-CN"/>
        </w:rPr>
        <w:t>遴选</w:t>
      </w:r>
      <w:r>
        <w:rPr>
          <w:rFonts w:eastAsia="宋体"/>
          <w:sz w:val="24"/>
          <w:szCs w:val="21"/>
        </w:rPr>
        <w:t>小组的组成人员行贿或者采取其他不正当手段谋取成交。</w:t>
      </w:r>
      <w:bookmarkEnd w:id="71"/>
      <w:bookmarkEnd w:id="72"/>
    </w:p>
    <w:p w14:paraId="58FCBE74">
      <w:pPr>
        <w:spacing w:line="360" w:lineRule="auto"/>
        <w:ind w:firstLine="480" w:firstLineChars="200"/>
        <w:rPr>
          <w:rFonts w:eastAsia="宋体"/>
          <w:sz w:val="24"/>
          <w:szCs w:val="21"/>
        </w:rPr>
      </w:pPr>
      <w:bookmarkStart w:id="73" w:name="_Toc98126219"/>
      <w:bookmarkStart w:id="74" w:name="_Toc98126294"/>
      <w:r>
        <w:rPr>
          <w:rFonts w:eastAsia="宋体"/>
          <w:sz w:val="24"/>
          <w:szCs w:val="21"/>
        </w:rPr>
        <w:t>5.</w:t>
      </w:r>
      <w:bookmarkEnd w:id="73"/>
      <w:bookmarkEnd w:id="74"/>
      <w:bookmarkStart w:id="75" w:name="_Toc98126220"/>
      <w:bookmarkStart w:id="76" w:name="_Toc98126295"/>
      <w:r>
        <w:rPr>
          <w:rFonts w:hint="eastAsia" w:eastAsia="宋体"/>
          <w:sz w:val="24"/>
          <w:szCs w:val="21"/>
          <w:lang w:val="en-US" w:eastAsia="zh-CN"/>
        </w:rPr>
        <w:t>3</w:t>
      </w:r>
      <w:r>
        <w:rPr>
          <w:rFonts w:eastAsia="宋体"/>
          <w:sz w:val="24"/>
          <w:szCs w:val="21"/>
        </w:rPr>
        <w:t>除供应商被要求对响应文件进行质疑澄清外，从开启响应文件之时起至授予合同止，供应商不得就与其响应文件有关的事项主动与</w:t>
      </w:r>
      <w:r>
        <w:rPr>
          <w:rFonts w:hint="eastAsia" w:eastAsia="宋体"/>
          <w:sz w:val="24"/>
          <w:szCs w:val="21"/>
          <w:lang w:eastAsia="zh-CN"/>
        </w:rPr>
        <w:t>遴选</w:t>
      </w:r>
      <w:r>
        <w:rPr>
          <w:rFonts w:eastAsia="宋体"/>
          <w:sz w:val="24"/>
          <w:szCs w:val="21"/>
        </w:rPr>
        <w:t>小组、采购人接触。</w:t>
      </w:r>
      <w:bookmarkEnd w:id="75"/>
      <w:bookmarkEnd w:id="76"/>
    </w:p>
    <w:p w14:paraId="78731B5B">
      <w:pPr>
        <w:pStyle w:val="6"/>
        <w:keepNext w:val="0"/>
        <w:keepLines w:val="0"/>
        <w:adjustRightInd/>
        <w:spacing w:before="0" w:after="0" w:line="360" w:lineRule="auto"/>
        <w:ind w:firstLine="482" w:firstLineChars="200"/>
        <w:rPr>
          <w:rFonts w:ascii="Times New Roman"/>
          <w:b w:val="0"/>
          <w:bCs/>
          <w:sz w:val="24"/>
          <w:szCs w:val="21"/>
        </w:rPr>
      </w:pPr>
      <w:bookmarkStart w:id="77" w:name="_Toc110953834"/>
      <w:r>
        <w:rPr>
          <w:rFonts w:ascii="Times New Roman"/>
          <w:sz w:val="24"/>
          <w:szCs w:val="21"/>
        </w:rPr>
        <w:t>6.保密及其它注意事项</w:t>
      </w:r>
      <w:bookmarkEnd w:id="77"/>
    </w:p>
    <w:p w14:paraId="5F90EB83">
      <w:pPr>
        <w:spacing w:line="360" w:lineRule="auto"/>
        <w:ind w:firstLine="480" w:firstLineChars="200"/>
        <w:rPr>
          <w:rFonts w:eastAsia="宋体"/>
          <w:sz w:val="24"/>
          <w:szCs w:val="21"/>
        </w:rPr>
      </w:pPr>
      <w:bookmarkStart w:id="78" w:name="_Toc98126222"/>
      <w:bookmarkStart w:id="79" w:name="_Toc98126297"/>
      <w:r>
        <w:rPr>
          <w:rFonts w:eastAsia="宋体"/>
          <w:sz w:val="24"/>
          <w:szCs w:val="21"/>
        </w:rPr>
        <w:t>6.1凡参与采购工作的有关人员均应自觉接受有关主管部门的监督，不得向他人透露可能影响公平竞争的有关情况。</w:t>
      </w:r>
      <w:bookmarkEnd w:id="78"/>
      <w:bookmarkEnd w:id="79"/>
    </w:p>
    <w:p w14:paraId="66CC7C0C">
      <w:pPr>
        <w:spacing w:line="360" w:lineRule="auto"/>
        <w:ind w:firstLine="480" w:firstLineChars="200"/>
        <w:rPr>
          <w:rFonts w:eastAsia="宋体"/>
          <w:sz w:val="24"/>
          <w:szCs w:val="21"/>
        </w:rPr>
      </w:pPr>
      <w:r>
        <w:rPr>
          <w:rFonts w:eastAsia="宋体"/>
          <w:sz w:val="24"/>
          <w:szCs w:val="21"/>
        </w:rPr>
        <w:t>6.2开启响应文件后，直至向成交供应商发出《成交通知书》止，凡与审查、澄清、评估和比较有关资料以及评审意见等，均不得向供应商及与评审无关的其他人透露。在采购工作结束后，与评审情况有接触的任何人，不得将评审情况扩散出</w:t>
      </w:r>
      <w:r>
        <w:rPr>
          <w:rFonts w:hint="eastAsia" w:eastAsia="宋体"/>
          <w:sz w:val="24"/>
          <w:szCs w:val="21"/>
          <w:lang w:eastAsia="zh-CN"/>
        </w:rPr>
        <w:t>遴选</w:t>
      </w:r>
      <w:r>
        <w:rPr>
          <w:rFonts w:eastAsia="宋体"/>
          <w:sz w:val="24"/>
          <w:szCs w:val="21"/>
        </w:rPr>
        <w:t>小组人员之外。</w:t>
      </w:r>
    </w:p>
    <w:p w14:paraId="19DC3AC5">
      <w:pPr>
        <w:spacing w:line="360" w:lineRule="auto"/>
        <w:ind w:firstLine="480" w:firstLineChars="200"/>
        <w:rPr>
          <w:rFonts w:eastAsia="宋体"/>
          <w:sz w:val="24"/>
          <w:szCs w:val="21"/>
        </w:rPr>
      </w:pPr>
      <w:r>
        <w:rPr>
          <w:rFonts w:eastAsia="宋体"/>
          <w:sz w:val="24"/>
          <w:szCs w:val="21"/>
        </w:rPr>
        <w:t>6.3在评审期间，供应商不得向</w:t>
      </w:r>
      <w:r>
        <w:rPr>
          <w:rFonts w:hint="eastAsia" w:eastAsia="宋体"/>
          <w:sz w:val="24"/>
          <w:szCs w:val="21"/>
          <w:lang w:eastAsia="zh-CN"/>
        </w:rPr>
        <w:t>遴选</w:t>
      </w:r>
      <w:r>
        <w:rPr>
          <w:rFonts w:eastAsia="宋体"/>
          <w:sz w:val="24"/>
          <w:szCs w:val="21"/>
        </w:rPr>
        <w:t>小组成员询问评审情况，不得进行旨在影响评审结果的活动。</w:t>
      </w:r>
    </w:p>
    <w:p w14:paraId="0163EB5F">
      <w:pPr>
        <w:spacing w:line="360" w:lineRule="auto"/>
        <w:ind w:firstLine="480" w:firstLineChars="200"/>
        <w:outlineLvl w:val="3"/>
        <w:rPr>
          <w:rFonts w:eastAsia="宋体"/>
          <w:sz w:val="24"/>
          <w:szCs w:val="21"/>
        </w:rPr>
      </w:pPr>
      <w:r>
        <w:rPr>
          <w:rFonts w:eastAsia="宋体"/>
          <w:sz w:val="24"/>
          <w:szCs w:val="21"/>
        </w:rPr>
        <w:t>6.4</w:t>
      </w:r>
      <w:r>
        <w:rPr>
          <w:rFonts w:hint="eastAsia" w:eastAsia="宋体"/>
          <w:sz w:val="24"/>
          <w:szCs w:val="21"/>
          <w:lang w:eastAsia="zh-CN"/>
        </w:rPr>
        <w:t>遴选</w:t>
      </w:r>
      <w:r>
        <w:rPr>
          <w:rFonts w:eastAsia="宋体"/>
          <w:sz w:val="24"/>
          <w:szCs w:val="21"/>
        </w:rPr>
        <w:t>小组不向未成交供应商解释落选原因，不退还响应文件。</w:t>
      </w:r>
    </w:p>
    <w:p w14:paraId="066053E1">
      <w:pPr>
        <w:spacing w:line="360" w:lineRule="auto"/>
        <w:ind w:firstLine="480" w:firstLineChars="200"/>
        <w:rPr>
          <w:rFonts w:eastAsia="宋体"/>
          <w:sz w:val="24"/>
          <w:szCs w:val="21"/>
        </w:rPr>
      </w:pPr>
      <w:r>
        <w:rPr>
          <w:rFonts w:eastAsia="宋体"/>
          <w:sz w:val="24"/>
          <w:szCs w:val="21"/>
        </w:rPr>
        <w:t>6.5所有供应商自行承担与响应有关的全部费用。采购人在任何情况下均不承担该费用。</w:t>
      </w:r>
    </w:p>
    <w:p w14:paraId="6DAE509D">
      <w:pPr>
        <w:pStyle w:val="6"/>
        <w:keepNext w:val="0"/>
        <w:keepLines w:val="0"/>
        <w:adjustRightInd/>
        <w:spacing w:before="0" w:after="0" w:line="360" w:lineRule="auto"/>
        <w:ind w:firstLine="482" w:firstLineChars="200"/>
        <w:rPr>
          <w:rFonts w:ascii="Times New Roman"/>
          <w:sz w:val="24"/>
          <w:szCs w:val="21"/>
        </w:rPr>
      </w:pPr>
      <w:bookmarkStart w:id="80" w:name="_Toc497016085"/>
      <w:r>
        <w:rPr>
          <w:rFonts w:ascii="Times New Roman"/>
          <w:sz w:val="24"/>
          <w:szCs w:val="21"/>
        </w:rPr>
        <w:t>7. 供应商诚信管理</w:t>
      </w:r>
      <w:bookmarkEnd w:id="80"/>
    </w:p>
    <w:p w14:paraId="56DA8FF8">
      <w:pPr>
        <w:spacing w:line="360" w:lineRule="auto"/>
        <w:ind w:firstLine="480" w:firstLineChars="200"/>
        <w:rPr>
          <w:rFonts w:eastAsia="宋体"/>
          <w:sz w:val="24"/>
          <w:szCs w:val="21"/>
        </w:rPr>
      </w:pPr>
      <w:r>
        <w:rPr>
          <w:rFonts w:eastAsia="宋体"/>
          <w:sz w:val="24"/>
          <w:szCs w:val="21"/>
        </w:rPr>
        <w:t>7.1供应商在本</w:t>
      </w:r>
      <w:r>
        <w:rPr>
          <w:rFonts w:hint="eastAsia" w:eastAsia="宋体"/>
          <w:sz w:val="24"/>
          <w:szCs w:val="21"/>
          <w:lang w:eastAsia="zh-CN"/>
        </w:rPr>
        <w:t>遴选</w:t>
      </w:r>
      <w:r>
        <w:rPr>
          <w:rFonts w:eastAsia="宋体"/>
          <w:sz w:val="24"/>
          <w:szCs w:val="21"/>
        </w:rPr>
        <w:t>项目的竞争中应自觉遵循诚实信用原则，不得存在腐败、欺诈或其他严重违背诚信原则的行为。“腐败行为”是指提供、给予任何有价值的东西来影响采购人员在采购过程或合同实施过程中的行为；“欺诈行为”是指为了影响采购过程或合同实施过程而谎报、隐瞒事实，损害采购人的利益，包括供应商之间串通响应（递交响应书之前或之后），人为地使响应丧失竞争性，损害采购人从公开竞争中所能获得的权益。</w:t>
      </w:r>
    </w:p>
    <w:p w14:paraId="1DB01353">
      <w:pPr>
        <w:spacing w:line="360" w:lineRule="auto"/>
        <w:ind w:firstLine="480" w:firstLineChars="200"/>
        <w:rPr>
          <w:rFonts w:eastAsia="宋体"/>
          <w:sz w:val="24"/>
          <w:szCs w:val="21"/>
        </w:rPr>
      </w:pPr>
      <w:r>
        <w:rPr>
          <w:rFonts w:eastAsia="宋体"/>
          <w:sz w:val="24"/>
          <w:szCs w:val="21"/>
        </w:rPr>
        <w:t>7.2 如果采购人有证据表明供应商在本</w:t>
      </w:r>
      <w:r>
        <w:rPr>
          <w:rFonts w:hint="eastAsia" w:eastAsia="宋体"/>
          <w:sz w:val="24"/>
          <w:szCs w:val="21"/>
          <w:lang w:eastAsia="zh-CN"/>
        </w:rPr>
        <w:t>遴选</w:t>
      </w:r>
      <w:r>
        <w:rPr>
          <w:rFonts w:eastAsia="宋体"/>
          <w:sz w:val="24"/>
          <w:szCs w:val="21"/>
        </w:rPr>
        <w:t>项目的竞争中存在腐败、欺诈或其他严重违背诚信原则的行为，则将拒绝其响应。</w:t>
      </w:r>
    </w:p>
    <w:p w14:paraId="1B70BDC2">
      <w:pPr>
        <w:spacing w:line="360" w:lineRule="auto"/>
        <w:ind w:firstLine="480" w:firstLineChars="200"/>
        <w:outlineLvl w:val="3"/>
        <w:rPr>
          <w:rFonts w:eastAsia="宋体"/>
          <w:sz w:val="24"/>
          <w:szCs w:val="21"/>
        </w:rPr>
      </w:pPr>
      <w:r>
        <w:rPr>
          <w:rFonts w:eastAsia="宋体"/>
          <w:sz w:val="24"/>
          <w:szCs w:val="21"/>
        </w:rPr>
        <w:t>7.3 供应商有下列情形之一，将作不良诚信记录</w:t>
      </w:r>
      <w:r>
        <w:rPr>
          <w:rFonts w:hint="eastAsia" w:eastAsia="宋体"/>
          <w:sz w:val="24"/>
          <w:szCs w:val="21"/>
        </w:rPr>
        <w:t>：</w:t>
      </w:r>
    </w:p>
    <w:p w14:paraId="557BB90C">
      <w:pPr>
        <w:spacing w:line="360" w:lineRule="auto"/>
        <w:ind w:firstLine="480" w:firstLineChars="200"/>
        <w:rPr>
          <w:rFonts w:eastAsia="宋体"/>
          <w:sz w:val="24"/>
          <w:szCs w:val="21"/>
        </w:rPr>
      </w:pPr>
      <w:r>
        <w:rPr>
          <w:rFonts w:eastAsia="宋体"/>
          <w:sz w:val="24"/>
          <w:szCs w:val="21"/>
        </w:rPr>
        <w:t>（1）提供虚假材料参加政府采购活动谋取成交的；</w:t>
      </w:r>
    </w:p>
    <w:p w14:paraId="6AB5C3E6">
      <w:pPr>
        <w:spacing w:line="360" w:lineRule="auto"/>
        <w:ind w:firstLine="480" w:firstLineChars="200"/>
        <w:rPr>
          <w:rFonts w:eastAsia="宋体"/>
          <w:sz w:val="24"/>
          <w:szCs w:val="21"/>
        </w:rPr>
      </w:pPr>
      <w:r>
        <w:rPr>
          <w:rFonts w:eastAsia="宋体"/>
          <w:sz w:val="24"/>
          <w:szCs w:val="21"/>
        </w:rPr>
        <w:t>（2）开启响应文件后擅自撤销响应，影响</w:t>
      </w:r>
      <w:r>
        <w:rPr>
          <w:rFonts w:hint="eastAsia" w:eastAsia="宋体"/>
          <w:sz w:val="24"/>
          <w:szCs w:val="21"/>
          <w:lang w:eastAsia="zh-CN"/>
        </w:rPr>
        <w:t>遴选</w:t>
      </w:r>
      <w:r>
        <w:rPr>
          <w:rFonts w:eastAsia="宋体"/>
          <w:sz w:val="24"/>
          <w:szCs w:val="21"/>
        </w:rPr>
        <w:t>继续进行的；</w:t>
      </w:r>
    </w:p>
    <w:p w14:paraId="695E75E9">
      <w:pPr>
        <w:spacing w:line="360" w:lineRule="auto"/>
        <w:ind w:firstLine="480" w:firstLineChars="200"/>
        <w:rPr>
          <w:rFonts w:eastAsia="宋体"/>
          <w:sz w:val="24"/>
          <w:szCs w:val="21"/>
        </w:rPr>
      </w:pPr>
      <w:r>
        <w:rPr>
          <w:rFonts w:eastAsia="宋体"/>
          <w:sz w:val="24"/>
          <w:szCs w:val="21"/>
        </w:rPr>
        <w:t>（3）采取不正当手段诋毁、排挤其他供应商的；</w:t>
      </w:r>
    </w:p>
    <w:p w14:paraId="3DD66D81">
      <w:pPr>
        <w:spacing w:line="360" w:lineRule="auto"/>
        <w:ind w:firstLine="480" w:firstLineChars="200"/>
        <w:rPr>
          <w:rFonts w:eastAsia="宋体"/>
          <w:sz w:val="24"/>
          <w:szCs w:val="21"/>
        </w:rPr>
      </w:pPr>
      <w:r>
        <w:rPr>
          <w:rFonts w:eastAsia="宋体"/>
          <w:sz w:val="24"/>
          <w:szCs w:val="21"/>
        </w:rPr>
        <w:t>（4）与采购人</w:t>
      </w:r>
      <w:r>
        <w:rPr>
          <w:rFonts w:hint="eastAsia" w:eastAsia="宋体"/>
          <w:sz w:val="24"/>
          <w:szCs w:val="21"/>
          <w:lang w:val="en-US" w:eastAsia="zh-CN"/>
        </w:rPr>
        <w:t>或</w:t>
      </w:r>
      <w:r>
        <w:rPr>
          <w:rFonts w:eastAsia="宋体"/>
          <w:sz w:val="24"/>
          <w:szCs w:val="21"/>
        </w:rPr>
        <w:t>其他供应商恶意串通的；</w:t>
      </w:r>
    </w:p>
    <w:p w14:paraId="204C3C9D">
      <w:pPr>
        <w:spacing w:line="360" w:lineRule="auto"/>
        <w:ind w:firstLine="480" w:firstLineChars="200"/>
        <w:rPr>
          <w:rFonts w:eastAsia="宋体"/>
          <w:sz w:val="24"/>
          <w:szCs w:val="21"/>
        </w:rPr>
      </w:pPr>
      <w:r>
        <w:rPr>
          <w:rFonts w:eastAsia="宋体"/>
          <w:sz w:val="24"/>
          <w:szCs w:val="21"/>
        </w:rPr>
        <w:t>（5）成交后无正当理由拒绝签订合同的；</w:t>
      </w:r>
    </w:p>
    <w:p w14:paraId="09317141">
      <w:pPr>
        <w:spacing w:line="360" w:lineRule="auto"/>
        <w:ind w:firstLine="480" w:firstLineChars="200"/>
        <w:rPr>
          <w:rFonts w:eastAsia="宋体"/>
          <w:sz w:val="24"/>
          <w:szCs w:val="21"/>
        </w:rPr>
      </w:pPr>
      <w:r>
        <w:rPr>
          <w:rFonts w:eastAsia="宋体"/>
          <w:sz w:val="24"/>
          <w:szCs w:val="21"/>
        </w:rPr>
        <w:t>（6）无正当理由拒绝履行合同的；</w:t>
      </w:r>
    </w:p>
    <w:p w14:paraId="742CE990">
      <w:pPr>
        <w:spacing w:line="360" w:lineRule="auto"/>
        <w:ind w:firstLine="480" w:firstLineChars="200"/>
        <w:rPr>
          <w:rFonts w:eastAsia="宋体"/>
          <w:sz w:val="24"/>
          <w:szCs w:val="21"/>
        </w:rPr>
      </w:pPr>
      <w:r>
        <w:rPr>
          <w:rFonts w:eastAsia="宋体"/>
          <w:sz w:val="24"/>
          <w:szCs w:val="21"/>
        </w:rPr>
        <w:t>（7）故意提供假冒伪劣产品或走私物品的；</w:t>
      </w:r>
    </w:p>
    <w:p w14:paraId="76C768FC">
      <w:pPr>
        <w:spacing w:line="360" w:lineRule="auto"/>
        <w:ind w:firstLine="480" w:firstLineChars="200"/>
        <w:rPr>
          <w:rFonts w:eastAsia="宋体"/>
          <w:sz w:val="24"/>
          <w:szCs w:val="21"/>
        </w:rPr>
      </w:pPr>
      <w:r>
        <w:rPr>
          <w:rFonts w:eastAsia="宋体"/>
          <w:sz w:val="24"/>
          <w:szCs w:val="21"/>
        </w:rPr>
        <w:t>（8）拒绝提供售后服务，给采购人造成损害的；</w:t>
      </w:r>
    </w:p>
    <w:p w14:paraId="44024D04">
      <w:pPr>
        <w:spacing w:line="360" w:lineRule="auto"/>
        <w:ind w:firstLine="480" w:firstLineChars="200"/>
        <w:rPr>
          <w:rFonts w:eastAsia="宋体"/>
          <w:sz w:val="24"/>
          <w:szCs w:val="21"/>
        </w:rPr>
      </w:pPr>
      <w:r>
        <w:rPr>
          <w:rFonts w:eastAsia="宋体"/>
          <w:sz w:val="24"/>
          <w:szCs w:val="21"/>
        </w:rPr>
        <w:t>（9）恶意投诉，给采购人造成损害的；</w:t>
      </w:r>
    </w:p>
    <w:p w14:paraId="246B0FFC">
      <w:pPr>
        <w:spacing w:line="360" w:lineRule="auto"/>
        <w:ind w:firstLine="480" w:firstLineChars="200"/>
        <w:rPr>
          <w:rFonts w:eastAsia="宋体"/>
          <w:sz w:val="24"/>
          <w:szCs w:val="21"/>
        </w:rPr>
      </w:pPr>
      <w:r>
        <w:rPr>
          <w:rFonts w:eastAsia="宋体"/>
          <w:sz w:val="24"/>
          <w:szCs w:val="21"/>
        </w:rPr>
        <w:t>（10）拒绝有关部门监督检查或者提供虚假情况的；</w:t>
      </w:r>
    </w:p>
    <w:p w14:paraId="2704A426">
      <w:pPr>
        <w:spacing w:line="360" w:lineRule="auto"/>
        <w:ind w:firstLine="480" w:firstLineChars="200"/>
        <w:rPr>
          <w:rFonts w:eastAsia="宋体"/>
          <w:sz w:val="24"/>
          <w:szCs w:val="21"/>
        </w:rPr>
      </w:pPr>
      <w:r>
        <w:rPr>
          <w:rFonts w:eastAsia="宋体"/>
          <w:sz w:val="24"/>
          <w:szCs w:val="21"/>
        </w:rPr>
        <w:t>（11）经认定的其他有违诚实信用的行为。</w:t>
      </w:r>
    </w:p>
    <w:p w14:paraId="3ADC50FD">
      <w:pPr>
        <w:spacing w:line="360" w:lineRule="auto"/>
        <w:ind w:firstLine="480" w:firstLineChars="200"/>
        <w:rPr>
          <w:rFonts w:eastAsia="宋体"/>
          <w:sz w:val="24"/>
          <w:szCs w:val="21"/>
        </w:rPr>
      </w:pPr>
    </w:p>
    <w:p w14:paraId="0F2DB895">
      <w:pPr>
        <w:pStyle w:val="4"/>
        <w:keepNext w:val="0"/>
        <w:keepLines w:val="0"/>
        <w:adjustRightInd/>
        <w:spacing w:before="0" w:after="0" w:line="360" w:lineRule="auto"/>
        <w:ind w:firstLine="482" w:firstLineChars="200"/>
        <w:jc w:val="center"/>
        <w:rPr>
          <w:rFonts w:ascii="Times New Roman" w:hAnsi="Times New Roman" w:eastAsia="宋体"/>
          <w:sz w:val="24"/>
          <w:szCs w:val="21"/>
        </w:rPr>
      </w:pPr>
      <w:bookmarkStart w:id="81" w:name="_Toc169861815"/>
      <w:r>
        <w:rPr>
          <w:rFonts w:ascii="Times New Roman" w:hAnsi="Times New Roman" w:eastAsia="宋体"/>
          <w:sz w:val="24"/>
          <w:szCs w:val="21"/>
        </w:rPr>
        <w:t>二、</w:t>
      </w:r>
      <w:r>
        <w:rPr>
          <w:rFonts w:hint="eastAsia" w:ascii="Times New Roman" w:hAnsi="Times New Roman" w:eastAsia="宋体"/>
          <w:sz w:val="24"/>
          <w:szCs w:val="21"/>
          <w:lang w:eastAsia="zh-CN"/>
        </w:rPr>
        <w:t>遴选</w:t>
      </w:r>
      <w:r>
        <w:rPr>
          <w:rFonts w:ascii="Times New Roman" w:hAnsi="Times New Roman" w:eastAsia="宋体"/>
          <w:sz w:val="24"/>
          <w:szCs w:val="21"/>
        </w:rPr>
        <w:t>文件说明</w:t>
      </w:r>
      <w:bookmarkEnd w:id="64"/>
      <w:bookmarkEnd w:id="65"/>
      <w:bookmarkEnd w:id="66"/>
      <w:bookmarkEnd w:id="67"/>
      <w:bookmarkEnd w:id="68"/>
      <w:bookmarkEnd w:id="81"/>
    </w:p>
    <w:p w14:paraId="5A96B68E">
      <w:pPr>
        <w:pStyle w:val="6"/>
        <w:keepNext w:val="0"/>
        <w:keepLines w:val="0"/>
        <w:adjustRightInd/>
        <w:spacing w:before="0" w:after="0" w:line="360" w:lineRule="auto"/>
        <w:ind w:firstLine="482" w:firstLineChars="200"/>
        <w:rPr>
          <w:rFonts w:ascii="Times New Roman"/>
          <w:sz w:val="24"/>
          <w:szCs w:val="21"/>
        </w:rPr>
      </w:pPr>
      <w:bookmarkStart w:id="82" w:name="_Toc110953836"/>
      <w:bookmarkStart w:id="83" w:name="_Toc466786436"/>
      <w:bookmarkStart w:id="84" w:name="_Toc102277758"/>
      <w:bookmarkStart w:id="85" w:name="_Toc6968689"/>
      <w:bookmarkStart w:id="86" w:name="_Toc6882677"/>
      <w:bookmarkStart w:id="87" w:name="_Toc507407361"/>
      <w:r>
        <w:rPr>
          <w:rFonts w:ascii="Times New Roman"/>
          <w:sz w:val="24"/>
          <w:szCs w:val="21"/>
        </w:rPr>
        <w:t>8.</w:t>
      </w:r>
      <w:r>
        <w:rPr>
          <w:rFonts w:hint="eastAsia" w:ascii="Times New Roman"/>
          <w:sz w:val="24"/>
          <w:szCs w:val="21"/>
        </w:rPr>
        <w:t xml:space="preserve"> </w:t>
      </w:r>
      <w:r>
        <w:rPr>
          <w:rFonts w:hint="eastAsia" w:ascii="Times New Roman"/>
          <w:sz w:val="24"/>
          <w:szCs w:val="21"/>
          <w:lang w:eastAsia="zh-CN"/>
        </w:rPr>
        <w:t>遴选</w:t>
      </w:r>
      <w:r>
        <w:rPr>
          <w:rFonts w:ascii="Times New Roman"/>
          <w:sz w:val="24"/>
          <w:szCs w:val="21"/>
        </w:rPr>
        <w:t>文件构成</w:t>
      </w:r>
      <w:bookmarkEnd w:id="82"/>
    </w:p>
    <w:p w14:paraId="6BCDB85F">
      <w:pPr>
        <w:spacing w:line="360" w:lineRule="auto"/>
        <w:ind w:firstLine="480" w:firstLineChars="200"/>
        <w:rPr>
          <w:rFonts w:eastAsia="宋体"/>
          <w:sz w:val="24"/>
          <w:szCs w:val="21"/>
        </w:rPr>
      </w:pPr>
      <w:r>
        <w:rPr>
          <w:rFonts w:eastAsia="宋体"/>
          <w:sz w:val="24"/>
          <w:szCs w:val="21"/>
        </w:rPr>
        <w:t>8.1</w:t>
      </w:r>
      <w:r>
        <w:rPr>
          <w:rFonts w:hint="eastAsia" w:eastAsia="宋体"/>
          <w:sz w:val="24"/>
          <w:szCs w:val="21"/>
          <w:lang w:eastAsia="zh-CN"/>
        </w:rPr>
        <w:t>遴选</w:t>
      </w:r>
      <w:r>
        <w:rPr>
          <w:rFonts w:eastAsia="宋体"/>
          <w:sz w:val="24"/>
          <w:szCs w:val="21"/>
        </w:rPr>
        <w:t>文件用以阐明项目情况、评审程序、评审办法、定标标准和合同条款参考范本和响应文件的制作等，由</w:t>
      </w:r>
      <w:r>
        <w:rPr>
          <w:rFonts w:hint="eastAsia" w:eastAsia="宋体"/>
          <w:sz w:val="24"/>
          <w:szCs w:val="21"/>
          <w:lang w:eastAsia="zh-CN"/>
        </w:rPr>
        <w:t>遴选</w:t>
      </w:r>
      <w:r>
        <w:rPr>
          <w:rFonts w:eastAsia="宋体"/>
          <w:sz w:val="24"/>
          <w:szCs w:val="21"/>
        </w:rPr>
        <w:t>邀请函、采购需求、供应商须知</w:t>
      </w:r>
      <w:r>
        <w:rPr>
          <w:rFonts w:hint="eastAsia" w:eastAsia="宋体"/>
          <w:sz w:val="24"/>
          <w:szCs w:val="21"/>
        </w:rPr>
        <w:t>、</w:t>
      </w:r>
      <w:r>
        <w:rPr>
          <w:rFonts w:eastAsia="宋体"/>
          <w:sz w:val="24"/>
          <w:szCs w:val="21"/>
        </w:rPr>
        <w:t>评审办法、合同范本</w:t>
      </w:r>
      <w:r>
        <w:rPr>
          <w:rFonts w:hint="eastAsia" w:eastAsia="宋体"/>
          <w:sz w:val="24"/>
          <w:szCs w:val="21"/>
        </w:rPr>
        <w:t>和</w:t>
      </w:r>
      <w:r>
        <w:rPr>
          <w:rFonts w:eastAsia="宋体"/>
          <w:sz w:val="24"/>
          <w:szCs w:val="21"/>
        </w:rPr>
        <w:t>响应文件格式构成。</w:t>
      </w:r>
    </w:p>
    <w:p w14:paraId="49970B6C">
      <w:pPr>
        <w:pStyle w:val="6"/>
        <w:keepNext w:val="0"/>
        <w:keepLines w:val="0"/>
        <w:adjustRightInd/>
        <w:spacing w:before="0" w:after="0" w:line="360" w:lineRule="auto"/>
        <w:ind w:firstLine="482" w:firstLineChars="200"/>
        <w:rPr>
          <w:rFonts w:ascii="Times New Roman"/>
          <w:sz w:val="24"/>
          <w:szCs w:val="21"/>
        </w:rPr>
      </w:pPr>
      <w:bookmarkStart w:id="88" w:name="_Toc110953837"/>
      <w:r>
        <w:rPr>
          <w:rFonts w:ascii="Times New Roman"/>
          <w:sz w:val="24"/>
          <w:szCs w:val="21"/>
        </w:rPr>
        <w:t>9.</w:t>
      </w:r>
      <w:r>
        <w:rPr>
          <w:rFonts w:hint="eastAsia" w:ascii="Times New Roman"/>
          <w:sz w:val="24"/>
          <w:szCs w:val="21"/>
        </w:rPr>
        <w:t xml:space="preserve"> </w:t>
      </w:r>
      <w:r>
        <w:rPr>
          <w:rFonts w:hint="eastAsia" w:ascii="Times New Roman"/>
          <w:sz w:val="24"/>
          <w:szCs w:val="21"/>
          <w:lang w:eastAsia="zh-CN"/>
        </w:rPr>
        <w:t>遴选</w:t>
      </w:r>
      <w:r>
        <w:rPr>
          <w:rFonts w:ascii="Times New Roman"/>
          <w:sz w:val="24"/>
          <w:szCs w:val="21"/>
        </w:rPr>
        <w:t>文件的修改</w:t>
      </w:r>
      <w:bookmarkEnd w:id="88"/>
    </w:p>
    <w:p w14:paraId="19C3690E">
      <w:pPr>
        <w:spacing w:line="360" w:lineRule="auto"/>
        <w:ind w:firstLine="480" w:firstLineChars="200"/>
        <w:rPr>
          <w:rFonts w:eastAsia="宋体"/>
          <w:sz w:val="24"/>
          <w:szCs w:val="21"/>
        </w:rPr>
      </w:pPr>
      <w:r>
        <w:rPr>
          <w:rFonts w:eastAsia="宋体"/>
          <w:sz w:val="24"/>
          <w:szCs w:val="21"/>
        </w:rPr>
        <w:t>9.1提交首次响应文件截止之日前，采购人或者</w:t>
      </w:r>
      <w:r>
        <w:rPr>
          <w:rFonts w:hint="eastAsia" w:eastAsia="宋体"/>
          <w:sz w:val="24"/>
          <w:szCs w:val="21"/>
          <w:lang w:eastAsia="zh-CN"/>
        </w:rPr>
        <w:t>遴选</w:t>
      </w:r>
      <w:r>
        <w:rPr>
          <w:rFonts w:eastAsia="宋体"/>
          <w:sz w:val="24"/>
          <w:szCs w:val="21"/>
        </w:rPr>
        <w:t>小组可以对已发出的</w:t>
      </w:r>
      <w:r>
        <w:rPr>
          <w:rFonts w:hint="eastAsia" w:eastAsia="宋体"/>
          <w:sz w:val="24"/>
          <w:szCs w:val="21"/>
          <w:lang w:eastAsia="zh-CN"/>
        </w:rPr>
        <w:t>遴选</w:t>
      </w:r>
      <w:r>
        <w:rPr>
          <w:rFonts w:eastAsia="宋体"/>
          <w:sz w:val="24"/>
          <w:szCs w:val="21"/>
        </w:rPr>
        <w:t>文件进行必要的澄清或者修改，澄清或者修改的内容作为</w:t>
      </w:r>
      <w:r>
        <w:rPr>
          <w:rFonts w:hint="eastAsia" w:eastAsia="宋体"/>
          <w:sz w:val="24"/>
          <w:szCs w:val="21"/>
          <w:lang w:eastAsia="zh-CN"/>
        </w:rPr>
        <w:t>遴选</w:t>
      </w:r>
      <w:r>
        <w:rPr>
          <w:rFonts w:eastAsia="宋体"/>
          <w:sz w:val="24"/>
          <w:szCs w:val="21"/>
        </w:rPr>
        <w:t>文件的组成部分。澄清或者修改的内容可能影响响应文件编制的，将在提交首次响应文件截止时间5日前以书面形式通知所有获取</w:t>
      </w:r>
      <w:r>
        <w:rPr>
          <w:rFonts w:hint="eastAsia" w:eastAsia="宋体"/>
          <w:sz w:val="24"/>
          <w:szCs w:val="21"/>
          <w:lang w:eastAsia="zh-CN"/>
        </w:rPr>
        <w:t>遴选</w:t>
      </w:r>
      <w:r>
        <w:rPr>
          <w:rFonts w:eastAsia="宋体"/>
          <w:sz w:val="24"/>
          <w:szCs w:val="21"/>
        </w:rPr>
        <w:t>文件的供应商。</w:t>
      </w:r>
    </w:p>
    <w:p w14:paraId="1B358778">
      <w:pPr>
        <w:spacing w:line="360" w:lineRule="auto"/>
        <w:ind w:firstLine="480" w:firstLineChars="200"/>
        <w:rPr>
          <w:rFonts w:eastAsia="宋体"/>
          <w:sz w:val="24"/>
          <w:szCs w:val="21"/>
        </w:rPr>
      </w:pPr>
      <w:r>
        <w:rPr>
          <w:rFonts w:eastAsia="宋体"/>
          <w:sz w:val="24"/>
          <w:szCs w:val="21"/>
        </w:rPr>
        <w:t>9.2如果修改的时间距响应文件递交截止时间不足5日的，将相应顺延递交首次响应文件截止时间。</w:t>
      </w:r>
      <w:bookmarkEnd w:id="83"/>
      <w:bookmarkEnd w:id="84"/>
      <w:bookmarkEnd w:id="85"/>
      <w:bookmarkEnd w:id="86"/>
      <w:bookmarkEnd w:id="87"/>
      <w:bookmarkStart w:id="89" w:name="_Toc110953838"/>
      <w:bookmarkStart w:id="90" w:name="_Toc6882678"/>
      <w:bookmarkStart w:id="91" w:name="_Toc6968690"/>
      <w:bookmarkStart w:id="92" w:name="_Toc507407362"/>
      <w:bookmarkStart w:id="93" w:name="_Toc102277759"/>
      <w:bookmarkStart w:id="94" w:name="_Toc466786437"/>
    </w:p>
    <w:p w14:paraId="182566E8">
      <w:pPr>
        <w:spacing w:line="360" w:lineRule="auto"/>
      </w:pPr>
    </w:p>
    <w:p w14:paraId="2158156B">
      <w:pPr>
        <w:pStyle w:val="4"/>
        <w:keepNext w:val="0"/>
        <w:keepLines w:val="0"/>
        <w:adjustRightInd/>
        <w:spacing w:before="0" w:after="0" w:line="360" w:lineRule="auto"/>
        <w:ind w:firstLine="482" w:firstLineChars="200"/>
        <w:jc w:val="center"/>
        <w:rPr>
          <w:rFonts w:ascii="Times New Roman" w:hAnsi="Times New Roman" w:eastAsia="宋体"/>
          <w:sz w:val="24"/>
          <w:szCs w:val="21"/>
        </w:rPr>
      </w:pPr>
      <w:bookmarkStart w:id="95" w:name="_Toc169861816"/>
      <w:r>
        <w:rPr>
          <w:rFonts w:ascii="Times New Roman" w:hAnsi="Times New Roman" w:eastAsia="宋体"/>
          <w:sz w:val="24"/>
          <w:szCs w:val="21"/>
        </w:rPr>
        <w:t>三、响应文件的制作</w:t>
      </w:r>
      <w:bookmarkEnd w:id="89"/>
      <w:bookmarkEnd w:id="95"/>
    </w:p>
    <w:p w14:paraId="07F7C497">
      <w:pPr>
        <w:pStyle w:val="6"/>
        <w:keepNext w:val="0"/>
        <w:keepLines w:val="0"/>
        <w:adjustRightInd/>
        <w:spacing w:before="0" w:after="0" w:line="480" w:lineRule="exact"/>
        <w:ind w:firstLine="482" w:firstLineChars="200"/>
        <w:rPr>
          <w:rFonts w:hAnsi="宋体"/>
          <w:sz w:val="24"/>
          <w:szCs w:val="21"/>
        </w:rPr>
      </w:pPr>
      <w:bookmarkStart w:id="96" w:name="_Toc97112225"/>
      <w:bookmarkStart w:id="97" w:name="_Toc96934186"/>
      <w:bookmarkStart w:id="98" w:name="_Toc97109974"/>
      <w:bookmarkStart w:id="99" w:name="_Toc96940314"/>
      <w:bookmarkStart w:id="100" w:name="_Toc110953839"/>
      <w:bookmarkStart w:id="101" w:name="_Toc110953840"/>
      <w:r>
        <w:rPr>
          <w:rFonts w:hAnsi="宋体"/>
          <w:sz w:val="24"/>
          <w:szCs w:val="21"/>
        </w:rPr>
        <w:t>10.制作要求</w:t>
      </w:r>
      <w:bookmarkEnd w:id="96"/>
      <w:bookmarkEnd w:id="97"/>
      <w:bookmarkEnd w:id="98"/>
      <w:bookmarkEnd w:id="99"/>
      <w:bookmarkEnd w:id="100"/>
    </w:p>
    <w:p w14:paraId="22EB4B1B">
      <w:pPr>
        <w:spacing w:line="480" w:lineRule="exact"/>
        <w:ind w:firstLine="480" w:firstLineChars="200"/>
        <w:rPr>
          <w:rFonts w:ascii="宋体" w:hAnsi="宋体" w:eastAsia="宋体"/>
          <w:sz w:val="24"/>
          <w:szCs w:val="21"/>
        </w:rPr>
      </w:pPr>
      <w:r>
        <w:rPr>
          <w:rFonts w:ascii="宋体" w:hAnsi="宋体" w:eastAsia="宋体"/>
          <w:sz w:val="24"/>
          <w:szCs w:val="21"/>
        </w:rPr>
        <w:t>10.1供应商应当仔细阅读</w:t>
      </w:r>
      <w:r>
        <w:rPr>
          <w:rFonts w:hint="eastAsia" w:ascii="宋体" w:hAnsi="宋体" w:eastAsia="宋体"/>
          <w:sz w:val="24"/>
          <w:szCs w:val="21"/>
          <w:lang w:eastAsia="zh-CN"/>
        </w:rPr>
        <w:t>遴选</w:t>
      </w:r>
      <w:r>
        <w:rPr>
          <w:rFonts w:ascii="宋体" w:hAnsi="宋体" w:eastAsia="宋体"/>
          <w:sz w:val="24"/>
          <w:szCs w:val="21"/>
        </w:rPr>
        <w:t>文件的所有内容，按</w:t>
      </w:r>
      <w:r>
        <w:rPr>
          <w:rFonts w:hint="eastAsia" w:ascii="宋体" w:hAnsi="宋体" w:eastAsia="宋体"/>
          <w:sz w:val="24"/>
          <w:szCs w:val="21"/>
          <w:lang w:eastAsia="zh-CN"/>
        </w:rPr>
        <w:t>遴选</w:t>
      </w:r>
      <w:r>
        <w:rPr>
          <w:rFonts w:ascii="宋体" w:hAnsi="宋体" w:eastAsia="宋体"/>
          <w:sz w:val="24"/>
          <w:szCs w:val="21"/>
        </w:rPr>
        <w:t>文件的要求提供响应文件，并保证所提供的全部资料的真实性及对</w:t>
      </w:r>
      <w:r>
        <w:rPr>
          <w:rFonts w:hint="eastAsia" w:ascii="宋体" w:hAnsi="宋体" w:eastAsia="宋体"/>
          <w:sz w:val="24"/>
          <w:szCs w:val="21"/>
          <w:lang w:eastAsia="zh-CN"/>
        </w:rPr>
        <w:t>遴选</w:t>
      </w:r>
      <w:r>
        <w:rPr>
          <w:rFonts w:ascii="宋体" w:hAnsi="宋体" w:eastAsia="宋体"/>
          <w:sz w:val="24"/>
          <w:szCs w:val="21"/>
        </w:rPr>
        <w:t>文件作出实质性响应。</w:t>
      </w:r>
    </w:p>
    <w:p w14:paraId="1A37B375">
      <w:pPr>
        <w:spacing w:line="480" w:lineRule="exact"/>
        <w:ind w:firstLine="480" w:firstLineChars="200"/>
        <w:rPr>
          <w:rFonts w:ascii="宋体" w:hAnsi="宋体" w:eastAsia="宋体"/>
          <w:sz w:val="24"/>
          <w:szCs w:val="21"/>
        </w:rPr>
      </w:pPr>
      <w:r>
        <w:rPr>
          <w:rFonts w:ascii="宋体" w:hAnsi="宋体" w:eastAsia="宋体"/>
          <w:sz w:val="24"/>
          <w:szCs w:val="21"/>
        </w:rPr>
        <w:t>10.2供应商应按</w:t>
      </w:r>
      <w:r>
        <w:rPr>
          <w:rFonts w:hint="eastAsia" w:ascii="宋体" w:hAnsi="宋体" w:eastAsia="宋体"/>
          <w:sz w:val="24"/>
          <w:szCs w:val="21"/>
          <w:lang w:eastAsia="zh-CN"/>
        </w:rPr>
        <w:t>遴选</w:t>
      </w:r>
      <w:r>
        <w:rPr>
          <w:rFonts w:ascii="宋体" w:hAnsi="宋体" w:eastAsia="宋体"/>
          <w:sz w:val="24"/>
          <w:szCs w:val="21"/>
        </w:rPr>
        <w:t>文件中提供的响应文件格式制作响应文件。如有关表格不能满足填报需要，可以对表格格式作出相应调整，但不得更改表格的实质性内容。</w:t>
      </w:r>
    </w:p>
    <w:p w14:paraId="0F752725">
      <w:pPr>
        <w:spacing w:line="480" w:lineRule="exact"/>
        <w:ind w:firstLine="480" w:firstLineChars="200"/>
        <w:rPr>
          <w:rFonts w:ascii="宋体" w:hAnsi="宋体" w:eastAsia="宋体"/>
          <w:sz w:val="24"/>
          <w:szCs w:val="21"/>
        </w:rPr>
      </w:pPr>
      <w:r>
        <w:rPr>
          <w:rFonts w:ascii="宋体" w:hAnsi="宋体" w:eastAsia="宋体"/>
          <w:sz w:val="24"/>
          <w:szCs w:val="21"/>
        </w:rPr>
        <w:t>10.3供应商应提供</w:t>
      </w:r>
      <w:r>
        <w:rPr>
          <w:rFonts w:hint="eastAsia" w:ascii="宋体" w:hAnsi="宋体" w:eastAsia="宋体"/>
          <w:b/>
          <w:bCs/>
          <w:color w:val="000000"/>
          <w:sz w:val="24"/>
          <w:szCs w:val="21"/>
        </w:rPr>
        <w:t>响应文件正本一份、副本二份。</w:t>
      </w:r>
      <w:r>
        <w:rPr>
          <w:rFonts w:ascii="宋体" w:hAnsi="宋体" w:eastAsia="宋体"/>
          <w:sz w:val="24"/>
          <w:szCs w:val="21"/>
        </w:rPr>
        <w:t>在每一份响应文件上要明确注明“正本”或“副本”字样，一旦正本和副本有差异，以正本为准。</w:t>
      </w:r>
    </w:p>
    <w:p w14:paraId="2D711F91">
      <w:pPr>
        <w:spacing w:line="480" w:lineRule="exact"/>
        <w:ind w:firstLine="480" w:firstLineChars="200"/>
        <w:rPr>
          <w:rFonts w:ascii="宋体" w:hAnsi="宋体" w:eastAsia="宋体"/>
          <w:sz w:val="24"/>
          <w:szCs w:val="21"/>
        </w:rPr>
      </w:pPr>
      <w:r>
        <w:rPr>
          <w:rFonts w:ascii="宋体" w:hAnsi="宋体" w:eastAsia="宋体"/>
          <w:sz w:val="24"/>
          <w:szCs w:val="21"/>
        </w:rPr>
        <w:t>10.4响应文件的正本必须打印，并由供应商的法定代表人或经正式授权对供应商有约束力的委托代理人在响应文件上签字并加盖单位公章。委托代理人必须出具书面形式的授权委托书并附在响应文件中。响应文件的副本可采用正本的复印件。</w:t>
      </w:r>
    </w:p>
    <w:p w14:paraId="48DDA636">
      <w:pPr>
        <w:spacing w:line="480" w:lineRule="exact"/>
        <w:ind w:firstLine="480" w:firstLineChars="200"/>
        <w:rPr>
          <w:rFonts w:ascii="宋体" w:hAnsi="宋体" w:eastAsia="宋体"/>
          <w:sz w:val="24"/>
          <w:szCs w:val="21"/>
        </w:rPr>
      </w:pPr>
      <w:r>
        <w:rPr>
          <w:rFonts w:ascii="宋体" w:hAnsi="宋体" w:eastAsia="宋体"/>
          <w:sz w:val="24"/>
          <w:szCs w:val="21"/>
        </w:rPr>
        <w:t>10.5除供应商对错处作必要修改外，响应文件中不许有加行、涂改或改写。任何行间插字、涂改和增删，必须由供应商的法定代表人或委托代理人在修改处签字或加盖公章才有效。</w:t>
      </w:r>
    </w:p>
    <w:p w14:paraId="3EE6E947">
      <w:pPr>
        <w:spacing w:line="480" w:lineRule="exact"/>
        <w:ind w:firstLine="480" w:firstLineChars="200"/>
        <w:outlineLvl w:val="3"/>
        <w:rPr>
          <w:rFonts w:ascii="宋体" w:hAnsi="宋体" w:eastAsia="宋体"/>
          <w:sz w:val="24"/>
          <w:szCs w:val="21"/>
        </w:rPr>
      </w:pPr>
      <w:r>
        <w:rPr>
          <w:rFonts w:ascii="宋体" w:hAnsi="宋体" w:eastAsia="宋体"/>
          <w:sz w:val="24"/>
          <w:szCs w:val="21"/>
        </w:rPr>
        <w:t>10.6电报、电话、传真、电子邮件形式的响应概不接受。</w:t>
      </w:r>
    </w:p>
    <w:bookmarkEnd w:id="101"/>
    <w:p w14:paraId="0ED8019F">
      <w:pPr>
        <w:pStyle w:val="6"/>
        <w:keepNext w:val="0"/>
        <w:keepLines w:val="0"/>
        <w:adjustRightInd/>
        <w:spacing w:before="0" w:after="0" w:line="480" w:lineRule="exact"/>
        <w:ind w:firstLine="482" w:firstLineChars="200"/>
        <w:rPr>
          <w:rFonts w:hAnsi="宋体"/>
          <w:sz w:val="24"/>
          <w:szCs w:val="21"/>
        </w:rPr>
      </w:pPr>
      <w:bookmarkStart w:id="102" w:name="_Toc96940315"/>
      <w:bookmarkStart w:id="103" w:name="_Toc97112226"/>
      <w:bookmarkStart w:id="104" w:name="_Toc96934187"/>
      <w:bookmarkStart w:id="105" w:name="_Toc97109975"/>
      <w:bookmarkStart w:id="106" w:name="_Toc185150707"/>
      <w:r>
        <w:rPr>
          <w:rFonts w:hAnsi="宋体"/>
          <w:sz w:val="24"/>
          <w:szCs w:val="21"/>
        </w:rPr>
        <w:t>11.响应文件的内容</w:t>
      </w:r>
      <w:bookmarkEnd w:id="102"/>
      <w:bookmarkEnd w:id="103"/>
      <w:bookmarkEnd w:id="104"/>
      <w:bookmarkEnd w:id="105"/>
    </w:p>
    <w:p w14:paraId="6184CB90">
      <w:pPr>
        <w:spacing w:line="480" w:lineRule="exact"/>
        <w:ind w:firstLine="480" w:firstLineChars="200"/>
        <w:outlineLvl w:val="3"/>
        <w:rPr>
          <w:rFonts w:ascii="宋体" w:hAnsi="宋体" w:eastAsia="宋体"/>
          <w:sz w:val="24"/>
          <w:szCs w:val="21"/>
          <w:highlight w:val="none"/>
        </w:rPr>
      </w:pPr>
      <w:r>
        <w:rPr>
          <w:rFonts w:ascii="宋体" w:hAnsi="宋体" w:eastAsia="宋体"/>
          <w:sz w:val="24"/>
          <w:szCs w:val="21"/>
          <w:highlight w:val="none"/>
        </w:rPr>
        <w:t>11.1响应文件由</w:t>
      </w:r>
    </w:p>
    <w:p w14:paraId="5F92FE00">
      <w:pPr>
        <w:spacing w:line="480" w:lineRule="exact"/>
        <w:ind w:firstLine="480" w:firstLineChars="200"/>
        <w:rPr>
          <w:rFonts w:ascii="宋体" w:hAnsi="宋体" w:eastAsia="宋体"/>
          <w:sz w:val="24"/>
          <w:szCs w:val="21"/>
          <w:highlight w:val="none"/>
        </w:rPr>
      </w:pPr>
      <w:r>
        <w:rPr>
          <w:rFonts w:hint="eastAsia" w:ascii="宋体" w:hAnsi="宋体" w:eastAsia="宋体"/>
          <w:sz w:val="24"/>
          <w:szCs w:val="21"/>
          <w:highlight w:val="none"/>
        </w:rPr>
        <w:t>（1）</w:t>
      </w:r>
      <w:r>
        <w:rPr>
          <w:rFonts w:ascii="宋体" w:hAnsi="宋体" w:eastAsia="宋体"/>
          <w:sz w:val="24"/>
          <w:szCs w:val="21"/>
          <w:highlight w:val="none"/>
        </w:rPr>
        <w:t>封面</w:t>
      </w:r>
      <w:r>
        <w:rPr>
          <w:rFonts w:hint="eastAsia" w:ascii="宋体" w:hAnsi="宋体" w:eastAsia="宋体"/>
          <w:sz w:val="24"/>
          <w:szCs w:val="21"/>
          <w:highlight w:val="none"/>
        </w:rPr>
        <w:t>；</w:t>
      </w:r>
    </w:p>
    <w:p w14:paraId="7FD976EA">
      <w:pPr>
        <w:spacing w:line="480" w:lineRule="exact"/>
        <w:ind w:firstLine="480" w:firstLineChars="200"/>
        <w:rPr>
          <w:rFonts w:ascii="宋体" w:hAnsi="宋体" w:eastAsia="宋体"/>
          <w:sz w:val="24"/>
          <w:szCs w:val="21"/>
          <w:highlight w:val="none"/>
        </w:rPr>
      </w:pPr>
      <w:r>
        <w:rPr>
          <w:rFonts w:hint="eastAsia" w:ascii="宋体" w:hAnsi="宋体" w:eastAsia="宋体"/>
          <w:sz w:val="24"/>
          <w:szCs w:val="21"/>
          <w:highlight w:val="none"/>
        </w:rPr>
        <w:t>（2）</w:t>
      </w:r>
      <w:r>
        <w:rPr>
          <w:rFonts w:ascii="宋体" w:hAnsi="宋体" w:eastAsia="宋体"/>
          <w:sz w:val="24"/>
          <w:szCs w:val="21"/>
          <w:highlight w:val="none"/>
        </w:rPr>
        <w:t>目录</w:t>
      </w:r>
      <w:r>
        <w:rPr>
          <w:rFonts w:hint="eastAsia" w:ascii="宋体" w:hAnsi="宋体" w:eastAsia="宋体"/>
          <w:sz w:val="24"/>
          <w:szCs w:val="21"/>
          <w:highlight w:val="none"/>
        </w:rPr>
        <w:t>；</w:t>
      </w:r>
    </w:p>
    <w:p w14:paraId="76E5F086">
      <w:pPr>
        <w:spacing w:line="480" w:lineRule="exact"/>
        <w:ind w:firstLine="480" w:firstLineChars="200"/>
        <w:rPr>
          <w:rFonts w:ascii="宋体" w:hAnsi="宋体" w:eastAsia="宋体"/>
          <w:sz w:val="24"/>
          <w:szCs w:val="21"/>
          <w:highlight w:val="none"/>
        </w:rPr>
      </w:pPr>
      <w:r>
        <w:rPr>
          <w:rFonts w:hint="eastAsia" w:ascii="宋体" w:hAnsi="宋体" w:eastAsia="宋体"/>
          <w:sz w:val="24"/>
          <w:szCs w:val="21"/>
          <w:highlight w:val="none"/>
        </w:rPr>
        <w:t>（3）响应书；</w:t>
      </w:r>
    </w:p>
    <w:p w14:paraId="3294DC7B">
      <w:pPr>
        <w:spacing w:line="480" w:lineRule="exact"/>
        <w:ind w:firstLine="480" w:firstLineChars="200"/>
        <w:rPr>
          <w:rFonts w:ascii="宋体" w:hAnsi="宋体" w:eastAsia="宋体"/>
          <w:sz w:val="24"/>
          <w:szCs w:val="21"/>
          <w:highlight w:val="none"/>
        </w:rPr>
      </w:pPr>
      <w:r>
        <w:rPr>
          <w:rFonts w:hint="eastAsia" w:ascii="宋体" w:hAnsi="宋体" w:eastAsia="宋体"/>
          <w:sz w:val="24"/>
          <w:szCs w:val="21"/>
          <w:highlight w:val="none"/>
        </w:rPr>
        <w:t>（4）报价一览表；</w:t>
      </w:r>
    </w:p>
    <w:p w14:paraId="1B6EC7CB">
      <w:pPr>
        <w:spacing w:line="480" w:lineRule="exact"/>
        <w:ind w:firstLine="480" w:firstLineChars="200"/>
        <w:rPr>
          <w:rFonts w:ascii="宋体" w:hAnsi="宋体" w:eastAsia="宋体"/>
          <w:sz w:val="24"/>
          <w:szCs w:val="21"/>
          <w:highlight w:val="none"/>
        </w:rPr>
      </w:pPr>
      <w:r>
        <w:rPr>
          <w:rFonts w:hint="eastAsia" w:ascii="宋体" w:hAnsi="宋体" w:eastAsia="宋体"/>
          <w:sz w:val="24"/>
          <w:szCs w:val="21"/>
          <w:highlight w:val="none"/>
        </w:rPr>
        <w:t>（5）</w:t>
      </w:r>
      <w:r>
        <w:rPr>
          <w:rFonts w:hint="eastAsia" w:ascii="宋体" w:hAnsi="宋体" w:eastAsia="宋体"/>
          <w:sz w:val="24"/>
          <w:szCs w:val="21"/>
          <w:highlight w:val="none"/>
          <w:lang w:val="en-US" w:eastAsia="zh-CN"/>
        </w:rPr>
        <w:t>遴选响应承诺函</w:t>
      </w:r>
      <w:r>
        <w:rPr>
          <w:rFonts w:hint="eastAsia" w:ascii="宋体" w:hAnsi="宋体" w:eastAsia="宋体"/>
          <w:sz w:val="24"/>
          <w:szCs w:val="21"/>
          <w:highlight w:val="none"/>
        </w:rPr>
        <w:t>；</w:t>
      </w:r>
    </w:p>
    <w:p w14:paraId="00FB7BA5">
      <w:pPr>
        <w:spacing w:line="480" w:lineRule="exact"/>
        <w:ind w:firstLine="480" w:firstLineChars="200"/>
        <w:rPr>
          <w:rFonts w:ascii="宋体" w:hAnsi="宋体" w:eastAsia="宋体"/>
          <w:sz w:val="24"/>
          <w:szCs w:val="21"/>
          <w:highlight w:val="none"/>
        </w:rPr>
      </w:pPr>
      <w:r>
        <w:rPr>
          <w:rFonts w:hint="eastAsia" w:ascii="宋体" w:hAnsi="宋体" w:eastAsia="宋体"/>
          <w:sz w:val="24"/>
          <w:szCs w:val="21"/>
          <w:highlight w:val="none"/>
        </w:rPr>
        <w:t>（6）</w:t>
      </w:r>
      <w:r>
        <w:rPr>
          <w:rFonts w:hint="eastAsia" w:ascii="宋体" w:hAnsi="宋体" w:eastAsia="宋体"/>
          <w:sz w:val="24"/>
          <w:szCs w:val="21"/>
          <w:highlight w:val="none"/>
          <w:lang w:val="en-US" w:eastAsia="zh-CN"/>
        </w:rPr>
        <w:t>供货、质量保证书</w:t>
      </w:r>
      <w:r>
        <w:rPr>
          <w:rFonts w:hint="eastAsia" w:ascii="宋体" w:hAnsi="宋体" w:eastAsia="宋体"/>
          <w:sz w:val="24"/>
          <w:szCs w:val="21"/>
          <w:highlight w:val="none"/>
        </w:rPr>
        <w:t>；</w:t>
      </w:r>
    </w:p>
    <w:p w14:paraId="2FD0C8D9">
      <w:pPr>
        <w:spacing w:line="480" w:lineRule="exact"/>
        <w:ind w:firstLine="480" w:firstLineChars="200"/>
        <w:rPr>
          <w:rFonts w:ascii="宋体" w:hAnsi="宋体" w:eastAsia="宋体"/>
          <w:sz w:val="24"/>
          <w:szCs w:val="21"/>
          <w:highlight w:val="none"/>
        </w:rPr>
      </w:pPr>
      <w:r>
        <w:rPr>
          <w:rFonts w:hint="eastAsia" w:ascii="宋体" w:hAnsi="宋体" w:eastAsia="宋体"/>
          <w:sz w:val="24"/>
          <w:szCs w:val="21"/>
          <w:highlight w:val="none"/>
        </w:rPr>
        <w:t>（7）近三年来响应产品的销售业绩一览表；</w:t>
      </w:r>
    </w:p>
    <w:p w14:paraId="07C395F9">
      <w:pPr>
        <w:spacing w:line="480" w:lineRule="exact"/>
        <w:ind w:firstLine="480" w:firstLineChars="200"/>
        <w:rPr>
          <w:rFonts w:ascii="宋体" w:hAnsi="宋体" w:eastAsia="宋体"/>
          <w:sz w:val="24"/>
          <w:szCs w:val="21"/>
          <w:highlight w:val="none"/>
        </w:rPr>
      </w:pPr>
      <w:r>
        <w:rPr>
          <w:rFonts w:hint="eastAsia" w:ascii="宋体" w:hAnsi="宋体" w:eastAsia="宋体"/>
          <w:sz w:val="24"/>
          <w:szCs w:val="21"/>
          <w:highlight w:val="none"/>
        </w:rPr>
        <w:t>（</w:t>
      </w:r>
      <w:r>
        <w:rPr>
          <w:rFonts w:hint="eastAsia" w:ascii="宋体" w:hAnsi="宋体" w:eastAsia="宋体"/>
          <w:sz w:val="24"/>
          <w:szCs w:val="21"/>
          <w:highlight w:val="none"/>
          <w:lang w:val="en-US" w:eastAsia="zh-CN"/>
        </w:rPr>
        <w:t>8</w:t>
      </w:r>
      <w:r>
        <w:rPr>
          <w:rFonts w:hint="eastAsia" w:ascii="宋体" w:hAnsi="宋体" w:eastAsia="宋体"/>
          <w:sz w:val="24"/>
          <w:szCs w:val="21"/>
          <w:highlight w:val="none"/>
        </w:rPr>
        <w:t>）法定代表人证明书；</w:t>
      </w:r>
    </w:p>
    <w:p w14:paraId="148DE180">
      <w:pPr>
        <w:spacing w:line="480" w:lineRule="exact"/>
        <w:ind w:firstLine="480" w:firstLineChars="200"/>
        <w:rPr>
          <w:rFonts w:ascii="宋体" w:hAnsi="宋体" w:eastAsia="宋体"/>
          <w:sz w:val="24"/>
          <w:szCs w:val="21"/>
          <w:highlight w:val="none"/>
        </w:rPr>
      </w:pPr>
      <w:r>
        <w:rPr>
          <w:rFonts w:hint="eastAsia" w:ascii="宋体" w:hAnsi="宋体" w:eastAsia="宋体"/>
          <w:sz w:val="24"/>
          <w:szCs w:val="21"/>
          <w:highlight w:val="none"/>
        </w:rPr>
        <w:t>（</w:t>
      </w:r>
      <w:r>
        <w:rPr>
          <w:rFonts w:hint="eastAsia" w:ascii="宋体" w:hAnsi="宋体" w:eastAsia="宋体"/>
          <w:sz w:val="24"/>
          <w:szCs w:val="21"/>
          <w:highlight w:val="none"/>
          <w:lang w:val="en-US" w:eastAsia="zh-CN"/>
        </w:rPr>
        <w:t>9</w:t>
      </w:r>
      <w:r>
        <w:rPr>
          <w:rFonts w:hint="eastAsia" w:ascii="宋体" w:hAnsi="宋体" w:eastAsia="宋体"/>
          <w:sz w:val="24"/>
          <w:szCs w:val="21"/>
          <w:highlight w:val="none"/>
        </w:rPr>
        <w:t>）法定代表人授权委托书；</w:t>
      </w:r>
    </w:p>
    <w:p w14:paraId="576A8E01">
      <w:pPr>
        <w:spacing w:line="480" w:lineRule="exact"/>
        <w:ind w:firstLine="480" w:firstLineChars="200"/>
        <w:rPr>
          <w:rFonts w:ascii="宋体" w:hAnsi="宋体" w:eastAsia="宋体"/>
          <w:sz w:val="24"/>
          <w:szCs w:val="21"/>
          <w:highlight w:val="none"/>
        </w:rPr>
      </w:pPr>
      <w:r>
        <w:rPr>
          <w:rFonts w:hint="eastAsia" w:ascii="宋体" w:hAnsi="宋体" w:eastAsia="宋体"/>
          <w:sz w:val="24"/>
          <w:szCs w:val="21"/>
          <w:highlight w:val="none"/>
        </w:rPr>
        <w:t>（1</w:t>
      </w:r>
      <w:r>
        <w:rPr>
          <w:rFonts w:hint="eastAsia" w:ascii="宋体" w:hAnsi="宋体" w:eastAsia="宋体"/>
          <w:sz w:val="24"/>
          <w:szCs w:val="21"/>
          <w:highlight w:val="none"/>
          <w:lang w:val="en-US" w:eastAsia="zh-CN"/>
        </w:rPr>
        <w:t>0</w:t>
      </w:r>
      <w:r>
        <w:rPr>
          <w:rFonts w:hint="eastAsia" w:ascii="宋体" w:hAnsi="宋体" w:eastAsia="宋体"/>
          <w:sz w:val="24"/>
          <w:szCs w:val="21"/>
          <w:highlight w:val="none"/>
        </w:rPr>
        <w:t>）关于资格的声明函；</w:t>
      </w:r>
    </w:p>
    <w:p w14:paraId="3660368C">
      <w:pPr>
        <w:spacing w:line="480" w:lineRule="exact"/>
        <w:ind w:firstLine="480" w:firstLineChars="200"/>
        <w:rPr>
          <w:rFonts w:ascii="宋体" w:hAnsi="宋体" w:eastAsia="宋体"/>
          <w:sz w:val="24"/>
          <w:szCs w:val="21"/>
          <w:highlight w:val="none"/>
        </w:rPr>
      </w:pPr>
      <w:r>
        <w:rPr>
          <w:rFonts w:hint="eastAsia" w:ascii="宋体" w:hAnsi="宋体" w:eastAsia="宋体"/>
          <w:sz w:val="24"/>
          <w:szCs w:val="21"/>
          <w:highlight w:val="none"/>
        </w:rPr>
        <w:t>（</w:t>
      </w:r>
      <w:r>
        <w:rPr>
          <w:rFonts w:ascii="宋体" w:hAnsi="宋体" w:eastAsia="宋体"/>
          <w:sz w:val="24"/>
          <w:szCs w:val="21"/>
          <w:highlight w:val="none"/>
        </w:rPr>
        <w:t>1</w:t>
      </w:r>
      <w:r>
        <w:rPr>
          <w:rFonts w:hint="eastAsia" w:ascii="宋体" w:hAnsi="宋体" w:eastAsia="宋体"/>
          <w:sz w:val="24"/>
          <w:szCs w:val="21"/>
          <w:highlight w:val="none"/>
          <w:lang w:val="en-US" w:eastAsia="zh-CN"/>
        </w:rPr>
        <w:t>1</w:t>
      </w:r>
      <w:r>
        <w:rPr>
          <w:rFonts w:hint="eastAsia" w:ascii="宋体" w:hAnsi="宋体" w:eastAsia="宋体"/>
          <w:sz w:val="24"/>
          <w:szCs w:val="21"/>
          <w:highlight w:val="none"/>
        </w:rPr>
        <w:t>）响应资格证明书；</w:t>
      </w:r>
    </w:p>
    <w:p w14:paraId="2F14A2E2">
      <w:pPr>
        <w:spacing w:line="480" w:lineRule="exact"/>
        <w:ind w:firstLine="480" w:firstLineChars="200"/>
        <w:rPr>
          <w:rFonts w:ascii="宋体" w:hAnsi="宋体" w:eastAsia="宋体"/>
          <w:sz w:val="24"/>
          <w:szCs w:val="21"/>
          <w:highlight w:val="none"/>
        </w:rPr>
      </w:pPr>
      <w:r>
        <w:rPr>
          <w:rFonts w:hint="eastAsia" w:ascii="宋体" w:hAnsi="宋体" w:eastAsia="宋体"/>
          <w:sz w:val="24"/>
          <w:szCs w:val="21"/>
          <w:highlight w:val="none"/>
        </w:rPr>
        <w:t>（</w:t>
      </w:r>
      <w:r>
        <w:rPr>
          <w:rFonts w:ascii="宋体" w:hAnsi="宋体" w:eastAsia="宋体"/>
          <w:sz w:val="24"/>
          <w:szCs w:val="21"/>
          <w:highlight w:val="none"/>
        </w:rPr>
        <w:t>1</w:t>
      </w:r>
      <w:r>
        <w:rPr>
          <w:rFonts w:hint="eastAsia" w:ascii="宋体" w:hAnsi="宋体" w:eastAsia="宋体"/>
          <w:sz w:val="24"/>
          <w:szCs w:val="21"/>
          <w:highlight w:val="none"/>
          <w:lang w:val="en-US" w:eastAsia="zh-CN"/>
        </w:rPr>
        <w:t>2</w:t>
      </w:r>
      <w:r>
        <w:rPr>
          <w:rFonts w:hint="eastAsia" w:ascii="宋体" w:hAnsi="宋体" w:eastAsia="宋体"/>
          <w:sz w:val="24"/>
          <w:szCs w:val="21"/>
          <w:highlight w:val="none"/>
        </w:rPr>
        <w:t>）响应承诺书；</w:t>
      </w:r>
    </w:p>
    <w:p w14:paraId="06B61824">
      <w:pPr>
        <w:spacing w:line="480" w:lineRule="exact"/>
        <w:ind w:firstLine="480" w:firstLineChars="200"/>
        <w:outlineLvl w:val="3"/>
        <w:rPr>
          <w:rFonts w:ascii="宋体" w:hAnsi="宋体" w:eastAsia="宋体"/>
          <w:sz w:val="24"/>
          <w:szCs w:val="21"/>
        </w:rPr>
      </w:pPr>
      <w:r>
        <w:rPr>
          <w:rFonts w:ascii="宋体" w:hAnsi="宋体" w:eastAsia="宋体"/>
          <w:sz w:val="24"/>
          <w:szCs w:val="21"/>
        </w:rPr>
        <w:t>11.2响应（</w:t>
      </w:r>
      <w:r>
        <w:rPr>
          <w:rFonts w:hint="eastAsia" w:ascii="宋体" w:hAnsi="宋体" w:eastAsia="宋体"/>
          <w:sz w:val="24"/>
          <w:szCs w:val="21"/>
          <w:lang w:eastAsia="zh-CN"/>
        </w:rPr>
        <w:t>遴选</w:t>
      </w:r>
      <w:r>
        <w:rPr>
          <w:rFonts w:ascii="宋体" w:hAnsi="宋体" w:eastAsia="宋体"/>
          <w:sz w:val="24"/>
          <w:szCs w:val="21"/>
        </w:rPr>
        <w:t>）报价</w:t>
      </w:r>
    </w:p>
    <w:p w14:paraId="25849250">
      <w:pPr>
        <w:spacing w:line="480" w:lineRule="exact"/>
        <w:ind w:firstLine="480" w:firstLineChars="200"/>
        <w:rPr>
          <w:rFonts w:ascii="宋体" w:hAnsi="宋体" w:eastAsia="宋体"/>
          <w:sz w:val="24"/>
          <w:szCs w:val="21"/>
        </w:rPr>
      </w:pPr>
      <w:r>
        <w:rPr>
          <w:rFonts w:ascii="宋体" w:hAnsi="宋体" w:eastAsia="宋体"/>
          <w:sz w:val="24"/>
          <w:szCs w:val="21"/>
        </w:rPr>
        <w:t>（1）</w:t>
      </w:r>
      <w:r>
        <w:rPr>
          <w:rFonts w:hint="eastAsia" w:ascii="宋体" w:hAnsi="宋体" w:eastAsia="宋体"/>
          <w:sz w:val="24"/>
          <w:szCs w:val="21"/>
          <w:lang w:eastAsia="zh-CN"/>
        </w:rPr>
        <w:t>遴选</w:t>
      </w:r>
      <w:r>
        <w:rPr>
          <w:rFonts w:hint="eastAsia" w:ascii="宋体" w:hAnsi="宋体" w:eastAsia="宋体"/>
          <w:sz w:val="24"/>
          <w:szCs w:val="21"/>
        </w:rPr>
        <w:t>报价应为人民币全包价（</w:t>
      </w:r>
      <w:r>
        <w:rPr>
          <w:rFonts w:hint="eastAsia" w:ascii="宋体" w:hAnsi="宋体" w:eastAsia="宋体" w:cs="宋体"/>
          <w:color w:val="auto"/>
          <w:sz w:val="24"/>
          <w:szCs w:val="24"/>
        </w:rPr>
        <w:t>包含</w:t>
      </w:r>
      <w:r>
        <w:rPr>
          <w:rFonts w:hint="eastAsia" w:ascii="宋体" w:hAnsi="宋体" w:eastAsia="宋体" w:cs="宋体"/>
          <w:color w:val="auto"/>
          <w:sz w:val="24"/>
          <w:szCs w:val="24"/>
          <w:lang w:val="en-US" w:eastAsia="zh-CN"/>
        </w:rPr>
        <w:t>项目所有成本费、</w:t>
      </w:r>
      <w:r>
        <w:rPr>
          <w:rFonts w:hint="eastAsia" w:ascii="宋体" w:hAnsi="宋体" w:eastAsia="宋体" w:cs="宋体"/>
          <w:color w:val="auto"/>
          <w:sz w:val="24"/>
          <w:szCs w:val="24"/>
        </w:rPr>
        <w:t>装卸费、保险费、税金等一切费用</w:t>
      </w:r>
      <w:r>
        <w:rPr>
          <w:rFonts w:hint="eastAsia" w:ascii="宋体" w:hAnsi="宋体" w:eastAsia="宋体"/>
          <w:sz w:val="24"/>
          <w:szCs w:val="21"/>
        </w:rPr>
        <w:t>）。</w:t>
      </w:r>
    </w:p>
    <w:p w14:paraId="0FC7D043">
      <w:pPr>
        <w:spacing w:line="480" w:lineRule="exact"/>
        <w:ind w:firstLine="480" w:firstLineChars="200"/>
        <w:rPr>
          <w:rFonts w:ascii="宋体" w:hAnsi="宋体" w:eastAsia="宋体"/>
          <w:sz w:val="24"/>
          <w:szCs w:val="21"/>
        </w:rPr>
      </w:pPr>
      <w:r>
        <w:rPr>
          <w:rFonts w:ascii="宋体" w:hAnsi="宋体" w:eastAsia="宋体"/>
          <w:sz w:val="24"/>
          <w:szCs w:val="21"/>
        </w:rPr>
        <w:t>（2）供应商应按响应文件的响应价格表格式填写响应内容的单价和总价。</w:t>
      </w:r>
    </w:p>
    <w:p w14:paraId="634161C5">
      <w:pPr>
        <w:spacing w:line="480" w:lineRule="exact"/>
        <w:ind w:firstLine="480" w:firstLineChars="200"/>
        <w:rPr>
          <w:rFonts w:ascii="宋体" w:hAnsi="宋体" w:eastAsia="宋体"/>
          <w:sz w:val="24"/>
          <w:szCs w:val="21"/>
        </w:rPr>
      </w:pPr>
      <w:r>
        <w:rPr>
          <w:rFonts w:ascii="宋体" w:hAnsi="宋体" w:eastAsia="宋体"/>
          <w:sz w:val="24"/>
          <w:szCs w:val="21"/>
        </w:rPr>
        <w:t>（3）经</w:t>
      </w:r>
      <w:r>
        <w:rPr>
          <w:rFonts w:hint="eastAsia" w:ascii="宋体" w:hAnsi="宋体" w:eastAsia="宋体"/>
          <w:sz w:val="24"/>
          <w:szCs w:val="21"/>
          <w:lang w:eastAsia="zh-CN"/>
        </w:rPr>
        <w:t>遴选</w:t>
      </w:r>
      <w:r>
        <w:rPr>
          <w:rFonts w:ascii="宋体" w:hAnsi="宋体" w:eastAsia="宋体"/>
          <w:sz w:val="24"/>
          <w:szCs w:val="21"/>
        </w:rPr>
        <w:t>后，供应商所报的最后</w:t>
      </w:r>
      <w:r>
        <w:rPr>
          <w:rFonts w:hint="eastAsia" w:ascii="宋体" w:hAnsi="宋体" w:eastAsia="宋体"/>
          <w:sz w:val="24"/>
          <w:szCs w:val="21"/>
          <w:lang w:eastAsia="zh-CN"/>
        </w:rPr>
        <w:t>遴选</w:t>
      </w:r>
      <w:r>
        <w:rPr>
          <w:rFonts w:ascii="宋体" w:hAnsi="宋体" w:eastAsia="宋体"/>
          <w:sz w:val="24"/>
          <w:szCs w:val="21"/>
        </w:rPr>
        <w:t>报价在合同执行过程中是固定不变的，不得以任何理由予以变更。</w:t>
      </w:r>
    </w:p>
    <w:p w14:paraId="5DF2EBD3">
      <w:pPr>
        <w:spacing w:line="480" w:lineRule="exact"/>
        <w:ind w:firstLine="480" w:firstLineChars="200"/>
        <w:rPr>
          <w:rFonts w:ascii="宋体" w:hAnsi="宋体" w:eastAsia="宋体"/>
          <w:sz w:val="24"/>
          <w:szCs w:val="21"/>
        </w:rPr>
      </w:pPr>
      <w:r>
        <w:rPr>
          <w:rFonts w:ascii="宋体" w:hAnsi="宋体" w:eastAsia="宋体"/>
          <w:sz w:val="24"/>
          <w:szCs w:val="21"/>
        </w:rPr>
        <w:t>11.3供应商应当提交具备履行合同</w:t>
      </w:r>
      <w:r>
        <w:rPr>
          <w:rFonts w:hint="eastAsia" w:ascii="宋体" w:hAnsi="宋体" w:eastAsia="宋体"/>
          <w:sz w:val="24"/>
          <w:szCs w:val="21"/>
        </w:rPr>
        <w:t>能力</w:t>
      </w:r>
      <w:r>
        <w:rPr>
          <w:rFonts w:ascii="宋体" w:hAnsi="宋体" w:eastAsia="宋体"/>
          <w:sz w:val="24"/>
          <w:szCs w:val="21"/>
        </w:rPr>
        <w:t>的证明文件。</w:t>
      </w:r>
    </w:p>
    <w:p w14:paraId="2A7E3334">
      <w:pPr>
        <w:spacing w:line="480" w:lineRule="exact"/>
        <w:ind w:firstLine="480" w:firstLineChars="200"/>
        <w:rPr>
          <w:rFonts w:ascii="宋体" w:hAnsi="宋体" w:eastAsia="宋体"/>
          <w:sz w:val="24"/>
          <w:szCs w:val="21"/>
        </w:rPr>
      </w:pPr>
      <w:r>
        <w:rPr>
          <w:rFonts w:ascii="宋体" w:hAnsi="宋体" w:eastAsia="宋体"/>
          <w:sz w:val="24"/>
          <w:szCs w:val="21"/>
        </w:rPr>
        <w:t>11.4证明文件：技术能力证明，符合</w:t>
      </w:r>
      <w:r>
        <w:rPr>
          <w:rFonts w:hint="eastAsia" w:ascii="宋体" w:hAnsi="宋体" w:eastAsia="宋体"/>
          <w:sz w:val="24"/>
          <w:szCs w:val="21"/>
          <w:lang w:eastAsia="zh-CN"/>
        </w:rPr>
        <w:t>遴选</w:t>
      </w:r>
      <w:r>
        <w:rPr>
          <w:rFonts w:ascii="宋体" w:hAnsi="宋体" w:eastAsia="宋体"/>
          <w:sz w:val="24"/>
          <w:szCs w:val="21"/>
        </w:rPr>
        <w:t>文件要求的证明等。</w:t>
      </w:r>
    </w:p>
    <w:p w14:paraId="52F77553">
      <w:pPr>
        <w:spacing w:line="480" w:lineRule="exact"/>
        <w:ind w:firstLine="480" w:firstLineChars="200"/>
        <w:rPr>
          <w:rFonts w:ascii="宋体" w:hAnsi="宋体" w:eastAsia="宋体"/>
          <w:sz w:val="24"/>
          <w:szCs w:val="21"/>
        </w:rPr>
      </w:pPr>
      <w:r>
        <w:rPr>
          <w:rFonts w:ascii="宋体" w:hAnsi="宋体" w:eastAsia="宋体"/>
          <w:sz w:val="24"/>
          <w:szCs w:val="21"/>
        </w:rPr>
        <w:t>11.5证明服务的合格性和符合</w:t>
      </w:r>
      <w:r>
        <w:rPr>
          <w:rFonts w:hint="eastAsia" w:ascii="宋体" w:hAnsi="宋体" w:eastAsia="宋体"/>
          <w:sz w:val="24"/>
          <w:szCs w:val="21"/>
          <w:lang w:eastAsia="zh-CN"/>
        </w:rPr>
        <w:t>遴选</w:t>
      </w:r>
      <w:r>
        <w:rPr>
          <w:rFonts w:ascii="宋体" w:hAnsi="宋体" w:eastAsia="宋体"/>
          <w:sz w:val="24"/>
          <w:szCs w:val="21"/>
        </w:rPr>
        <w:t>文件规定的文件。</w:t>
      </w:r>
    </w:p>
    <w:p w14:paraId="50373FAA">
      <w:pPr>
        <w:spacing w:line="480" w:lineRule="exact"/>
        <w:ind w:firstLine="480" w:firstLineChars="200"/>
        <w:rPr>
          <w:rFonts w:ascii="宋体" w:hAnsi="宋体" w:eastAsia="宋体"/>
          <w:sz w:val="24"/>
          <w:szCs w:val="21"/>
        </w:rPr>
      </w:pPr>
      <w:r>
        <w:rPr>
          <w:rFonts w:ascii="宋体" w:hAnsi="宋体" w:eastAsia="宋体"/>
          <w:sz w:val="24"/>
          <w:szCs w:val="21"/>
        </w:rPr>
        <w:t>11.6供应商应提交其拟供的合同项下的服务的合格性符合</w:t>
      </w:r>
      <w:r>
        <w:rPr>
          <w:rFonts w:hint="eastAsia" w:ascii="宋体" w:hAnsi="宋体" w:eastAsia="宋体"/>
          <w:sz w:val="24"/>
          <w:szCs w:val="21"/>
          <w:lang w:eastAsia="zh-CN"/>
        </w:rPr>
        <w:t>遴选</w:t>
      </w:r>
      <w:r>
        <w:rPr>
          <w:rFonts w:ascii="宋体" w:hAnsi="宋体" w:eastAsia="宋体"/>
          <w:sz w:val="24"/>
          <w:szCs w:val="21"/>
        </w:rPr>
        <w:t>文件规定的证明文件，并作为其响应文件的一部分。</w:t>
      </w:r>
    </w:p>
    <w:p w14:paraId="697A73BA">
      <w:pPr>
        <w:spacing w:line="360" w:lineRule="auto"/>
        <w:ind w:firstLine="480" w:firstLineChars="200"/>
        <w:rPr>
          <w:rFonts w:ascii="宋体" w:hAnsi="宋体" w:eastAsia="宋体"/>
          <w:sz w:val="24"/>
          <w:szCs w:val="21"/>
        </w:rPr>
      </w:pPr>
      <w:r>
        <w:rPr>
          <w:rFonts w:ascii="宋体" w:hAnsi="宋体" w:eastAsia="宋体"/>
          <w:sz w:val="24"/>
          <w:szCs w:val="21"/>
        </w:rPr>
        <w:t>11.7服务合格性的证明文件应包括服务来源地的说明，服务与</w:t>
      </w:r>
      <w:r>
        <w:rPr>
          <w:rFonts w:hint="eastAsia" w:ascii="宋体" w:hAnsi="宋体" w:eastAsia="宋体"/>
          <w:sz w:val="24"/>
          <w:szCs w:val="21"/>
          <w:lang w:eastAsia="zh-CN"/>
        </w:rPr>
        <w:t>遴选</w:t>
      </w:r>
      <w:r>
        <w:rPr>
          <w:rFonts w:ascii="宋体" w:hAnsi="宋体" w:eastAsia="宋体"/>
          <w:sz w:val="24"/>
          <w:szCs w:val="21"/>
        </w:rPr>
        <w:t>文件的要求相一致的证明文件，其他说明所提供服务已对技术要求做出了实质性响应的文件或说明与技术规格条文的偏差和例外等，形式可以是文字说明、图纸及其他资料。</w:t>
      </w:r>
    </w:p>
    <w:p w14:paraId="3C055A1C">
      <w:pPr>
        <w:pStyle w:val="6"/>
        <w:keepNext w:val="0"/>
        <w:keepLines w:val="0"/>
        <w:adjustRightInd/>
        <w:spacing w:before="0" w:after="0" w:line="360" w:lineRule="auto"/>
        <w:ind w:firstLine="482" w:firstLineChars="200"/>
        <w:rPr>
          <w:rFonts w:hAnsi="宋体"/>
          <w:sz w:val="24"/>
          <w:szCs w:val="21"/>
        </w:rPr>
      </w:pPr>
      <w:bookmarkStart w:id="107" w:name="_Toc110953841"/>
      <w:bookmarkStart w:id="108" w:name="_Toc96940316"/>
      <w:bookmarkStart w:id="109" w:name="_Toc97112227"/>
      <w:bookmarkStart w:id="110" w:name="_Toc97109976"/>
      <w:bookmarkStart w:id="111" w:name="_Toc96934188"/>
      <w:r>
        <w:rPr>
          <w:rFonts w:hAnsi="宋体"/>
          <w:sz w:val="24"/>
          <w:szCs w:val="21"/>
        </w:rPr>
        <w:t>12.响应文件格式</w:t>
      </w:r>
      <w:bookmarkEnd w:id="107"/>
      <w:bookmarkEnd w:id="108"/>
      <w:bookmarkEnd w:id="109"/>
      <w:bookmarkEnd w:id="110"/>
      <w:bookmarkEnd w:id="111"/>
    </w:p>
    <w:p w14:paraId="47A75F8A">
      <w:pPr>
        <w:spacing w:line="360" w:lineRule="auto"/>
        <w:ind w:firstLine="480" w:firstLineChars="200"/>
        <w:rPr>
          <w:rFonts w:ascii="宋体" w:hAnsi="宋体" w:eastAsia="宋体"/>
          <w:sz w:val="24"/>
          <w:szCs w:val="21"/>
        </w:rPr>
      </w:pPr>
      <w:r>
        <w:rPr>
          <w:rFonts w:ascii="宋体" w:hAnsi="宋体" w:eastAsia="宋体"/>
          <w:sz w:val="24"/>
          <w:szCs w:val="21"/>
        </w:rPr>
        <w:t>12.1供应商应将响应文件装订成册，并填写“响应文件目录”。上述文件及表格为供应商必须提交的文件，各供应商可以根据实际情况增加内容，但不得擅自减少有关内容。响应文件的完整性是评审的内容之一。</w:t>
      </w:r>
    </w:p>
    <w:bookmarkEnd w:id="106"/>
    <w:p w14:paraId="4A49DB18">
      <w:pPr>
        <w:pStyle w:val="6"/>
        <w:keepNext w:val="0"/>
        <w:keepLines w:val="0"/>
        <w:adjustRightInd/>
        <w:spacing w:before="0" w:after="0" w:line="360" w:lineRule="auto"/>
        <w:ind w:firstLine="482" w:firstLineChars="200"/>
        <w:rPr>
          <w:rFonts w:ascii="Times New Roman"/>
          <w:sz w:val="24"/>
          <w:szCs w:val="21"/>
        </w:rPr>
      </w:pPr>
      <w:bookmarkStart w:id="112" w:name="_Toc454701382"/>
      <w:bookmarkStart w:id="113" w:name="_Toc468157537"/>
      <w:bookmarkStart w:id="114" w:name="_Toc479991583"/>
      <w:bookmarkStart w:id="115" w:name="_Toc480020258"/>
      <w:bookmarkStart w:id="116" w:name="_Toc480021054"/>
      <w:bookmarkStart w:id="117" w:name="_Toc480010709"/>
      <w:bookmarkStart w:id="118" w:name="_Toc468606030"/>
      <w:bookmarkStart w:id="119" w:name="_Toc503758471"/>
      <w:bookmarkStart w:id="120" w:name="_Toc480171880"/>
      <w:bookmarkStart w:id="121" w:name="_Toc458262615"/>
      <w:bookmarkStart w:id="122" w:name="_Toc110953842"/>
      <w:bookmarkStart w:id="123" w:name="_Toc467236741"/>
      <w:bookmarkStart w:id="124" w:name="_Toc467987824"/>
      <w:r>
        <w:rPr>
          <w:rFonts w:ascii="Times New Roman"/>
          <w:sz w:val="24"/>
          <w:szCs w:val="21"/>
        </w:rPr>
        <w:t>1</w:t>
      </w:r>
      <w:r>
        <w:rPr>
          <w:rFonts w:hint="eastAsia" w:ascii="Times New Roman"/>
          <w:sz w:val="24"/>
          <w:szCs w:val="21"/>
          <w:lang w:val="en-US" w:eastAsia="zh-CN"/>
        </w:rPr>
        <w:t>3</w:t>
      </w:r>
      <w:r>
        <w:rPr>
          <w:rFonts w:ascii="Times New Roman"/>
          <w:sz w:val="24"/>
          <w:szCs w:val="21"/>
        </w:rPr>
        <w:t>.响应有效期</w:t>
      </w:r>
      <w:bookmarkEnd w:id="112"/>
      <w:bookmarkEnd w:id="113"/>
      <w:bookmarkEnd w:id="114"/>
      <w:bookmarkEnd w:id="115"/>
      <w:bookmarkEnd w:id="116"/>
      <w:bookmarkEnd w:id="117"/>
      <w:bookmarkEnd w:id="118"/>
      <w:bookmarkEnd w:id="119"/>
      <w:bookmarkEnd w:id="120"/>
      <w:bookmarkEnd w:id="121"/>
      <w:bookmarkEnd w:id="122"/>
      <w:bookmarkEnd w:id="123"/>
      <w:bookmarkEnd w:id="124"/>
    </w:p>
    <w:p w14:paraId="09DF6788">
      <w:pPr>
        <w:spacing w:line="360" w:lineRule="auto"/>
        <w:ind w:firstLine="480" w:firstLineChars="200"/>
        <w:rPr>
          <w:rFonts w:eastAsia="宋体"/>
          <w:sz w:val="24"/>
          <w:szCs w:val="21"/>
        </w:rPr>
      </w:pPr>
      <w:r>
        <w:rPr>
          <w:rFonts w:eastAsia="宋体"/>
          <w:sz w:val="24"/>
          <w:szCs w:val="21"/>
        </w:rPr>
        <w:t>1</w:t>
      </w:r>
      <w:r>
        <w:rPr>
          <w:rFonts w:hint="eastAsia" w:eastAsia="宋体"/>
          <w:sz w:val="24"/>
          <w:szCs w:val="21"/>
          <w:lang w:val="en-US" w:eastAsia="zh-CN"/>
        </w:rPr>
        <w:t>3</w:t>
      </w:r>
      <w:r>
        <w:rPr>
          <w:rFonts w:eastAsia="宋体"/>
          <w:sz w:val="24"/>
          <w:szCs w:val="21"/>
        </w:rPr>
        <w:t>.1响应文件从开启响应文件之日起，响应有效期为30个工作日。</w:t>
      </w:r>
    </w:p>
    <w:p w14:paraId="79ECA875">
      <w:pPr>
        <w:spacing w:line="360" w:lineRule="auto"/>
        <w:ind w:firstLine="480" w:firstLineChars="200"/>
        <w:rPr>
          <w:rFonts w:eastAsia="宋体"/>
          <w:sz w:val="24"/>
          <w:szCs w:val="21"/>
        </w:rPr>
      </w:pPr>
      <w:r>
        <w:rPr>
          <w:rFonts w:eastAsia="宋体"/>
          <w:sz w:val="24"/>
          <w:szCs w:val="21"/>
        </w:rPr>
        <w:t>1</w:t>
      </w:r>
      <w:r>
        <w:rPr>
          <w:rFonts w:hint="eastAsia" w:eastAsia="宋体"/>
          <w:sz w:val="24"/>
          <w:szCs w:val="21"/>
          <w:lang w:val="en-US" w:eastAsia="zh-CN"/>
        </w:rPr>
        <w:t>3</w:t>
      </w:r>
      <w:r>
        <w:rPr>
          <w:rFonts w:eastAsia="宋体"/>
          <w:sz w:val="24"/>
          <w:szCs w:val="21"/>
        </w:rPr>
        <w:t>.2特殊情况下，采购</w:t>
      </w:r>
      <w:r>
        <w:rPr>
          <w:rFonts w:hint="eastAsia" w:eastAsia="宋体"/>
          <w:sz w:val="24"/>
          <w:szCs w:val="21"/>
          <w:lang w:val="en-US" w:eastAsia="zh-CN"/>
        </w:rPr>
        <w:t>人</w:t>
      </w:r>
      <w:r>
        <w:rPr>
          <w:rFonts w:eastAsia="宋体"/>
          <w:sz w:val="24"/>
          <w:szCs w:val="21"/>
        </w:rPr>
        <w:t>可于响应有效期期满之前，要求供应商同意延长响应有效期，要求与答复均应为书面形式。对于同意该要求的供应商，既不要求也不允许其修改响应文件。</w:t>
      </w:r>
    </w:p>
    <w:p w14:paraId="51CB1542">
      <w:pPr>
        <w:spacing w:line="360" w:lineRule="auto"/>
        <w:ind w:firstLine="480" w:firstLineChars="200"/>
        <w:rPr>
          <w:rFonts w:eastAsia="宋体"/>
          <w:sz w:val="24"/>
          <w:szCs w:val="21"/>
        </w:rPr>
      </w:pPr>
    </w:p>
    <w:p w14:paraId="4A30F65F">
      <w:pPr>
        <w:spacing w:line="360" w:lineRule="auto"/>
        <w:rPr>
          <w:rFonts w:eastAsia="宋体"/>
          <w:sz w:val="24"/>
          <w:szCs w:val="21"/>
        </w:rPr>
      </w:pPr>
    </w:p>
    <w:bookmarkEnd w:id="90"/>
    <w:bookmarkEnd w:id="91"/>
    <w:bookmarkEnd w:id="92"/>
    <w:bookmarkEnd w:id="93"/>
    <w:bookmarkEnd w:id="94"/>
    <w:p w14:paraId="0432C327">
      <w:pPr>
        <w:pStyle w:val="4"/>
        <w:keepNext w:val="0"/>
        <w:keepLines w:val="0"/>
        <w:adjustRightInd/>
        <w:spacing w:before="0" w:after="0" w:line="360" w:lineRule="auto"/>
        <w:ind w:firstLine="482" w:firstLineChars="200"/>
        <w:jc w:val="center"/>
        <w:rPr>
          <w:rFonts w:ascii="Times New Roman" w:hAnsi="Times New Roman" w:eastAsia="宋体"/>
          <w:sz w:val="24"/>
          <w:szCs w:val="21"/>
        </w:rPr>
      </w:pPr>
      <w:bookmarkStart w:id="125" w:name="_Toc110953843"/>
      <w:bookmarkStart w:id="126" w:name="_Toc169861817"/>
      <w:bookmarkStart w:id="127" w:name="_Toc507407363"/>
      <w:bookmarkStart w:id="128" w:name="_Toc6968691"/>
      <w:bookmarkStart w:id="129" w:name="_Toc466786438"/>
      <w:bookmarkStart w:id="130" w:name="_Toc102277760"/>
      <w:bookmarkStart w:id="131" w:name="_Toc6882679"/>
      <w:r>
        <w:rPr>
          <w:rFonts w:ascii="Times New Roman" w:hAnsi="Times New Roman" w:eastAsia="宋体"/>
          <w:sz w:val="24"/>
          <w:szCs w:val="21"/>
        </w:rPr>
        <w:t>四、响应文件的递交</w:t>
      </w:r>
      <w:bookmarkEnd w:id="125"/>
      <w:bookmarkEnd w:id="126"/>
    </w:p>
    <w:p w14:paraId="3EBED509">
      <w:pPr>
        <w:pStyle w:val="6"/>
        <w:keepNext w:val="0"/>
        <w:keepLines w:val="0"/>
        <w:adjustRightInd/>
        <w:spacing w:before="0" w:after="0" w:line="480" w:lineRule="exact"/>
        <w:ind w:firstLine="482" w:firstLineChars="200"/>
        <w:rPr>
          <w:rFonts w:hAnsi="宋体"/>
          <w:sz w:val="24"/>
          <w:szCs w:val="21"/>
        </w:rPr>
      </w:pPr>
      <w:bookmarkStart w:id="132" w:name="_Toc96940320"/>
      <w:bookmarkStart w:id="133" w:name="_Toc110953844"/>
      <w:bookmarkStart w:id="134" w:name="_Toc97109980"/>
      <w:bookmarkStart w:id="135" w:name="_Toc96934192"/>
      <w:bookmarkStart w:id="136" w:name="_Toc97112231"/>
      <w:r>
        <w:rPr>
          <w:rFonts w:hAnsi="宋体"/>
          <w:sz w:val="24"/>
          <w:szCs w:val="21"/>
        </w:rPr>
        <w:t>1</w:t>
      </w:r>
      <w:r>
        <w:rPr>
          <w:rFonts w:hint="eastAsia" w:hAnsi="宋体"/>
          <w:sz w:val="24"/>
          <w:szCs w:val="21"/>
          <w:lang w:val="en-US" w:eastAsia="zh-CN"/>
        </w:rPr>
        <w:t>4</w:t>
      </w:r>
      <w:r>
        <w:rPr>
          <w:rFonts w:hAnsi="宋体"/>
          <w:sz w:val="24"/>
          <w:szCs w:val="21"/>
        </w:rPr>
        <w:t>.响应文件的密封和标记</w:t>
      </w:r>
      <w:bookmarkEnd w:id="132"/>
      <w:bookmarkEnd w:id="133"/>
      <w:bookmarkEnd w:id="134"/>
      <w:bookmarkEnd w:id="135"/>
      <w:bookmarkEnd w:id="136"/>
    </w:p>
    <w:p w14:paraId="13DFE965">
      <w:pPr>
        <w:spacing w:line="480" w:lineRule="exact"/>
        <w:ind w:firstLine="482" w:firstLineChars="200"/>
        <w:rPr>
          <w:rFonts w:ascii="宋体" w:hAnsi="宋体" w:eastAsia="宋体"/>
          <w:b/>
          <w:bCs/>
          <w:sz w:val="24"/>
          <w:szCs w:val="21"/>
        </w:rPr>
      </w:pPr>
      <w:r>
        <w:rPr>
          <w:rFonts w:ascii="宋体" w:hAnsi="宋体" w:eastAsia="宋体"/>
          <w:b/>
          <w:bCs/>
          <w:sz w:val="24"/>
          <w:szCs w:val="21"/>
        </w:rPr>
        <w:t>1</w:t>
      </w:r>
      <w:r>
        <w:rPr>
          <w:rFonts w:hint="eastAsia" w:ascii="宋体" w:hAnsi="宋体" w:eastAsia="宋体"/>
          <w:b/>
          <w:bCs/>
          <w:sz w:val="24"/>
          <w:szCs w:val="21"/>
          <w:lang w:val="en-US" w:eastAsia="zh-CN"/>
        </w:rPr>
        <w:t>4</w:t>
      </w:r>
      <w:r>
        <w:rPr>
          <w:rFonts w:ascii="宋体" w:hAnsi="宋体" w:eastAsia="宋体"/>
          <w:b/>
          <w:bCs/>
          <w:sz w:val="24"/>
          <w:szCs w:val="21"/>
        </w:rPr>
        <w:t>.1供应商应将响应文件正本和副本用信封分别密封，并标明供应商的名称、</w:t>
      </w:r>
      <w:r>
        <w:rPr>
          <w:rFonts w:hint="eastAsia" w:ascii="宋体" w:hAnsi="宋体" w:eastAsia="宋体"/>
          <w:b/>
          <w:bCs/>
          <w:sz w:val="24"/>
          <w:szCs w:val="21"/>
        </w:rPr>
        <w:t>项目名称、</w:t>
      </w:r>
      <w:r>
        <w:rPr>
          <w:rFonts w:ascii="宋体" w:hAnsi="宋体" w:eastAsia="宋体"/>
          <w:b/>
          <w:bCs/>
          <w:sz w:val="24"/>
          <w:szCs w:val="21"/>
        </w:rPr>
        <w:t>采购编号及</w:t>
      </w:r>
      <w:r>
        <w:rPr>
          <w:rFonts w:hint="eastAsia" w:ascii="宋体" w:hAnsi="宋体" w:eastAsia="宋体"/>
          <w:b/>
          <w:bCs/>
          <w:sz w:val="24"/>
          <w:szCs w:val="21"/>
        </w:rPr>
        <w:t>“</w:t>
      </w:r>
      <w:r>
        <w:rPr>
          <w:rFonts w:ascii="宋体" w:hAnsi="宋体" w:eastAsia="宋体"/>
          <w:b/>
          <w:bCs/>
          <w:sz w:val="24"/>
          <w:szCs w:val="21"/>
        </w:rPr>
        <w:t>正本</w:t>
      </w:r>
      <w:r>
        <w:rPr>
          <w:rFonts w:hint="eastAsia" w:ascii="宋体" w:hAnsi="宋体" w:eastAsia="宋体"/>
          <w:b/>
          <w:bCs/>
          <w:sz w:val="24"/>
          <w:szCs w:val="21"/>
        </w:rPr>
        <w:t>”</w:t>
      </w:r>
      <w:r>
        <w:rPr>
          <w:rFonts w:ascii="宋体" w:hAnsi="宋体" w:eastAsia="宋体"/>
          <w:b/>
          <w:bCs/>
          <w:sz w:val="24"/>
          <w:szCs w:val="21"/>
        </w:rPr>
        <w:t>或</w:t>
      </w:r>
      <w:r>
        <w:rPr>
          <w:rFonts w:hint="eastAsia" w:ascii="宋体" w:hAnsi="宋体" w:eastAsia="宋体"/>
          <w:b/>
          <w:bCs/>
          <w:sz w:val="24"/>
          <w:szCs w:val="21"/>
        </w:rPr>
        <w:t>“</w:t>
      </w:r>
      <w:r>
        <w:rPr>
          <w:rFonts w:ascii="宋体" w:hAnsi="宋体" w:eastAsia="宋体"/>
          <w:b/>
          <w:bCs/>
          <w:sz w:val="24"/>
          <w:szCs w:val="21"/>
        </w:rPr>
        <w:t>副本</w:t>
      </w:r>
      <w:r>
        <w:rPr>
          <w:rFonts w:hint="eastAsia" w:ascii="宋体" w:hAnsi="宋体" w:eastAsia="宋体"/>
          <w:b/>
          <w:bCs/>
          <w:sz w:val="24"/>
          <w:szCs w:val="21"/>
        </w:rPr>
        <w:t>”</w:t>
      </w:r>
      <w:r>
        <w:rPr>
          <w:rFonts w:ascii="宋体" w:hAnsi="宋体" w:eastAsia="宋体"/>
          <w:b/>
          <w:bCs/>
          <w:sz w:val="24"/>
          <w:szCs w:val="21"/>
        </w:rPr>
        <w:t>字样。</w:t>
      </w:r>
    </w:p>
    <w:p w14:paraId="6451E759">
      <w:pPr>
        <w:spacing w:line="480" w:lineRule="exact"/>
        <w:ind w:firstLine="480" w:firstLineChars="200"/>
        <w:rPr>
          <w:rFonts w:ascii="宋体" w:hAnsi="宋体" w:eastAsia="宋体"/>
          <w:sz w:val="24"/>
          <w:szCs w:val="21"/>
        </w:rPr>
      </w:pPr>
      <w:r>
        <w:rPr>
          <w:rFonts w:ascii="宋体" w:hAnsi="宋体" w:eastAsia="宋体"/>
          <w:sz w:val="24"/>
          <w:szCs w:val="21"/>
        </w:rPr>
        <w:t>1</w:t>
      </w:r>
      <w:r>
        <w:rPr>
          <w:rFonts w:hint="eastAsia" w:ascii="宋体" w:hAnsi="宋体" w:eastAsia="宋体"/>
          <w:sz w:val="24"/>
          <w:szCs w:val="21"/>
          <w:lang w:val="en-US" w:eastAsia="zh-CN"/>
        </w:rPr>
        <w:t>4</w:t>
      </w:r>
      <w:r>
        <w:rPr>
          <w:rFonts w:ascii="宋体" w:hAnsi="宋体" w:eastAsia="宋体"/>
          <w:sz w:val="24"/>
          <w:szCs w:val="21"/>
        </w:rPr>
        <w:t>.</w:t>
      </w:r>
      <w:r>
        <w:rPr>
          <w:rFonts w:hint="eastAsia" w:ascii="宋体" w:hAnsi="宋体" w:eastAsia="宋体"/>
          <w:sz w:val="24"/>
          <w:szCs w:val="21"/>
          <w:lang w:val="en-US" w:eastAsia="zh-CN"/>
        </w:rPr>
        <w:t>2</w:t>
      </w:r>
      <w:r>
        <w:rPr>
          <w:rFonts w:ascii="宋体" w:hAnsi="宋体" w:eastAsia="宋体"/>
          <w:sz w:val="24"/>
          <w:szCs w:val="21"/>
        </w:rPr>
        <w:t>每一份响应文件的密封袋两头封口上均需贴封条</w:t>
      </w:r>
      <w:bookmarkStart w:id="137" w:name="_Hlk65400439"/>
      <w:r>
        <w:rPr>
          <w:rFonts w:ascii="宋体" w:hAnsi="宋体" w:eastAsia="宋体"/>
          <w:sz w:val="24"/>
          <w:szCs w:val="21"/>
        </w:rPr>
        <w:t>，并加盖骑缝章（公章）。</w:t>
      </w:r>
      <w:bookmarkEnd w:id="137"/>
    </w:p>
    <w:p w14:paraId="4D355018">
      <w:pPr>
        <w:spacing w:line="480" w:lineRule="exact"/>
        <w:ind w:firstLine="480" w:firstLineChars="200"/>
        <w:rPr>
          <w:rFonts w:ascii="宋体" w:hAnsi="宋体" w:eastAsia="宋体"/>
          <w:sz w:val="24"/>
          <w:szCs w:val="21"/>
        </w:rPr>
      </w:pPr>
      <w:r>
        <w:rPr>
          <w:rFonts w:ascii="宋体" w:hAnsi="宋体" w:eastAsia="宋体"/>
          <w:sz w:val="24"/>
          <w:szCs w:val="21"/>
        </w:rPr>
        <w:t>1</w:t>
      </w:r>
      <w:r>
        <w:rPr>
          <w:rFonts w:hint="eastAsia" w:ascii="宋体" w:hAnsi="宋体" w:eastAsia="宋体"/>
          <w:sz w:val="24"/>
          <w:szCs w:val="21"/>
          <w:lang w:val="en-US" w:eastAsia="zh-CN"/>
        </w:rPr>
        <w:t>4</w:t>
      </w:r>
      <w:r>
        <w:rPr>
          <w:rFonts w:ascii="宋体" w:hAnsi="宋体" w:eastAsia="宋体"/>
          <w:sz w:val="24"/>
          <w:szCs w:val="21"/>
        </w:rPr>
        <w:t>.</w:t>
      </w:r>
      <w:r>
        <w:rPr>
          <w:rFonts w:hint="eastAsia" w:ascii="宋体" w:hAnsi="宋体" w:eastAsia="宋体"/>
          <w:sz w:val="24"/>
          <w:szCs w:val="21"/>
          <w:lang w:val="en-US" w:eastAsia="zh-CN"/>
        </w:rPr>
        <w:t>3</w:t>
      </w:r>
      <w:r>
        <w:rPr>
          <w:rFonts w:ascii="宋体" w:hAnsi="宋体" w:eastAsia="宋体"/>
          <w:sz w:val="24"/>
          <w:szCs w:val="21"/>
        </w:rPr>
        <w:t>供应商应按上述规定进行密封和标记后，将响应文件按照</w:t>
      </w:r>
      <w:r>
        <w:rPr>
          <w:rFonts w:hint="eastAsia" w:ascii="宋体" w:hAnsi="宋体" w:eastAsia="宋体"/>
          <w:sz w:val="24"/>
          <w:szCs w:val="21"/>
          <w:lang w:eastAsia="zh-CN"/>
        </w:rPr>
        <w:t>遴选</w:t>
      </w:r>
      <w:r>
        <w:rPr>
          <w:rFonts w:ascii="宋体" w:hAnsi="宋体" w:eastAsia="宋体"/>
          <w:sz w:val="24"/>
          <w:szCs w:val="21"/>
        </w:rPr>
        <w:t>文件中规定的时间和地址送至</w:t>
      </w:r>
      <w:r>
        <w:rPr>
          <w:rFonts w:hint="eastAsia" w:ascii="宋体" w:hAnsi="宋体" w:eastAsia="宋体"/>
          <w:sz w:val="24"/>
          <w:szCs w:val="21"/>
          <w:lang w:val="en-US" w:eastAsia="zh-CN"/>
        </w:rPr>
        <w:t>开平市中心医院</w:t>
      </w:r>
      <w:r>
        <w:rPr>
          <w:rFonts w:ascii="宋体" w:hAnsi="宋体" w:eastAsia="宋体"/>
          <w:sz w:val="24"/>
          <w:szCs w:val="21"/>
        </w:rPr>
        <w:t>。</w:t>
      </w:r>
    </w:p>
    <w:p w14:paraId="5E06334C">
      <w:pPr>
        <w:spacing w:line="480" w:lineRule="exact"/>
        <w:ind w:firstLine="480" w:firstLineChars="200"/>
        <w:rPr>
          <w:rFonts w:ascii="宋体" w:hAnsi="宋体" w:eastAsia="宋体"/>
          <w:sz w:val="24"/>
          <w:szCs w:val="21"/>
        </w:rPr>
      </w:pPr>
      <w:r>
        <w:rPr>
          <w:rFonts w:ascii="宋体" w:hAnsi="宋体" w:eastAsia="宋体"/>
          <w:sz w:val="24"/>
          <w:szCs w:val="21"/>
        </w:rPr>
        <w:t>1</w:t>
      </w:r>
      <w:r>
        <w:rPr>
          <w:rFonts w:hint="eastAsia" w:ascii="宋体" w:hAnsi="宋体" w:eastAsia="宋体"/>
          <w:sz w:val="24"/>
          <w:szCs w:val="21"/>
          <w:lang w:val="en-US" w:eastAsia="zh-CN"/>
        </w:rPr>
        <w:t>4</w:t>
      </w:r>
      <w:r>
        <w:rPr>
          <w:rFonts w:ascii="宋体" w:hAnsi="宋体" w:eastAsia="宋体"/>
          <w:sz w:val="24"/>
          <w:szCs w:val="21"/>
        </w:rPr>
        <w:t>.</w:t>
      </w:r>
      <w:r>
        <w:rPr>
          <w:rFonts w:hint="eastAsia" w:ascii="宋体" w:hAnsi="宋体" w:eastAsia="宋体"/>
          <w:sz w:val="24"/>
          <w:szCs w:val="21"/>
          <w:lang w:val="en-US" w:eastAsia="zh-CN"/>
        </w:rPr>
        <w:t>4</w:t>
      </w:r>
      <w:r>
        <w:rPr>
          <w:rFonts w:ascii="宋体" w:hAnsi="宋体" w:eastAsia="宋体"/>
          <w:sz w:val="24"/>
          <w:szCs w:val="21"/>
        </w:rPr>
        <w:t>未按上述规定进行密封、标记和递交的，采购</w:t>
      </w:r>
      <w:r>
        <w:rPr>
          <w:rFonts w:hint="eastAsia" w:ascii="宋体" w:hAnsi="宋体" w:eastAsia="宋体"/>
          <w:sz w:val="24"/>
          <w:szCs w:val="21"/>
          <w:lang w:val="en-US" w:eastAsia="zh-CN"/>
        </w:rPr>
        <w:t>人</w:t>
      </w:r>
      <w:r>
        <w:rPr>
          <w:rFonts w:ascii="宋体" w:hAnsi="宋体" w:eastAsia="宋体"/>
          <w:sz w:val="24"/>
          <w:szCs w:val="21"/>
        </w:rPr>
        <w:t>对响应文件的不依时间递交、误投、破损、封装不合格或提前拆封不负责。</w:t>
      </w:r>
    </w:p>
    <w:p w14:paraId="35B930EB">
      <w:pPr>
        <w:pStyle w:val="6"/>
        <w:keepNext w:val="0"/>
        <w:keepLines w:val="0"/>
        <w:adjustRightInd/>
        <w:spacing w:before="0" w:after="0" w:line="480" w:lineRule="exact"/>
        <w:ind w:firstLine="482" w:firstLineChars="200"/>
        <w:rPr>
          <w:rFonts w:hAnsi="宋体"/>
          <w:sz w:val="24"/>
          <w:szCs w:val="21"/>
          <w:highlight w:val="none"/>
        </w:rPr>
      </w:pPr>
      <w:bookmarkStart w:id="138" w:name="_Toc97112232"/>
      <w:bookmarkStart w:id="139" w:name="_Toc96934193"/>
      <w:bookmarkStart w:id="140" w:name="_Toc97109981"/>
      <w:bookmarkStart w:id="141" w:name="_Toc110953845"/>
      <w:bookmarkStart w:id="142" w:name="_Toc96940321"/>
      <w:r>
        <w:rPr>
          <w:rFonts w:hAnsi="宋体"/>
          <w:sz w:val="24"/>
          <w:szCs w:val="21"/>
          <w:highlight w:val="none"/>
        </w:rPr>
        <w:t>1</w:t>
      </w:r>
      <w:r>
        <w:rPr>
          <w:rFonts w:hint="eastAsia" w:hAnsi="宋体"/>
          <w:sz w:val="24"/>
          <w:szCs w:val="21"/>
          <w:highlight w:val="none"/>
          <w:lang w:val="en-US" w:eastAsia="zh-CN"/>
        </w:rPr>
        <w:t>5</w:t>
      </w:r>
      <w:r>
        <w:rPr>
          <w:rFonts w:hAnsi="宋体"/>
          <w:sz w:val="24"/>
          <w:szCs w:val="21"/>
          <w:highlight w:val="none"/>
        </w:rPr>
        <w:t>.递交响应文件的时间、地点以及截止时间</w:t>
      </w:r>
      <w:bookmarkEnd w:id="138"/>
      <w:bookmarkEnd w:id="139"/>
      <w:bookmarkEnd w:id="140"/>
      <w:bookmarkEnd w:id="141"/>
      <w:bookmarkEnd w:id="142"/>
    </w:p>
    <w:p w14:paraId="3D6456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2"/>
          <w:highlight w:val="none"/>
          <w:lang w:val="en-US" w:eastAsia="zh-CN"/>
        </w:rPr>
      </w:pPr>
      <w:r>
        <w:rPr>
          <w:rFonts w:ascii="宋体" w:hAnsi="宋体" w:eastAsia="宋体"/>
          <w:sz w:val="24"/>
          <w:szCs w:val="21"/>
          <w:highlight w:val="none"/>
        </w:rPr>
        <w:t>1</w:t>
      </w:r>
      <w:r>
        <w:rPr>
          <w:rFonts w:hint="eastAsia" w:ascii="宋体" w:hAnsi="宋体" w:eastAsia="宋体"/>
          <w:sz w:val="24"/>
          <w:szCs w:val="21"/>
          <w:highlight w:val="none"/>
          <w:lang w:val="en-US" w:eastAsia="zh-CN"/>
        </w:rPr>
        <w:t>5</w:t>
      </w:r>
      <w:r>
        <w:rPr>
          <w:rFonts w:ascii="宋体" w:hAnsi="宋体" w:eastAsia="宋体"/>
          <w:sz w:val="24"/>
          <w:szCs w:val="21"/>
          <w:highlight w:val="none"/>
        </w:rPr>
        <w:t xml:space="preserve">.1 </w:t>
      </w:r>
      <w:r>
        <w:rPr>
          <w:rFonts w:hint="eastAsia" w:eastAsia="宋体"/>
          <w:sz w:val="24"/>
          <w:szCs w:val="22"/>
          <w:highlight w:val="none"/>
        </w:rPr>
        <w:t>递交</w:t>
      </w:r>
      <w:r>
        <w:rPr>
          <w:rFonts w:hint="eastAsia" w:eastAsia="宋体"/>
          <w:sz w:val="24"/>
          <w:szCs w:val="22"/>
          <w:highlight w:val="none"/>
          <w:lang w:val="en-US" w:eastAsia="zh-CN"/>
        </w:rPr>
        <w:t>方式：现场提交或邮寄</w:t>
      </w:r>
      <w:r>
        <w:rPr>
          <w:rFonts w:hint="eastAsia" w:eastAsia="宋体"/>
          <w:sz w:val="24"/>
          <w:szCs w:val="22"/>
          <w:highlight w:val="yellow"/>
          <w:lang w:val="en-US" w:eastAsia="zh-CN"/>
        </w:rPr>
        <w:t>（报名资料及遴选文件可一齐寄出）</w:t>
      </w:r>
    </w:p>
    <w:p w14:paraId="3FB3B6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sz w:val="24"/>
          <w:szCs w:val="22"/>
          <w:highlight w:val="none"/>
          <w:lang w:val="en-US" w:eastAsia="zh-CN"/>
        </w:rPr>
      </w:pPr>
      <w:r>
        <w:rPr>
          <w:rFonts w:ascii="宋体" w:hAnsi="宋体" w:eastAsia="宋体"/>
          <w:sz w:val="24"/>
          <w:szCs w:val="21"/>
          <w:highlight w:val="none"/>
        </w:rPr>
        <w:t>1</w:t>
      </w:r>
      <w:r>
        <w:rPr>
          <w:rFonts w:hint="eastAsia" w:ascii="宋体" w:hAnsi="宋体" w:eastAsia="宋体"/>
          <w:sz w:val="24"/>
          <w:szCs w:val="21"/>
          <w:highlight w:val="none"/>
          <w:lang w:val="en-US" w:eastAsia="zh-CN"/>
        </w:rPr>
        <w:t>5</w:t>
      </w:r>
      <w:r>
        <w:rPr>
          <w:rFonts w:ascii="宋体" w:hAnsi="宋体" w:eastAsia="宋体"/>
          <w:sz w:val="24"/>
          <w:szCs w:val="21"/>
          <w:highlight w:val="none"/>
        </w:rPr>
        <w:t>.1</w:t>
      </w:r>
      <w:r>
        <w:rPr>
          <w:rFonts w:hint="eastAsia" w:ascii="宋体" w:hAnsi="宋体" w:eastAsia="宋体"/>
          <w:sz w:val="24"/>
          <w:szCs w:val="21"/>
          <w:highlight w:val="none"/>
          <w:lang w:val="en-US" w:eastAsia="zh-CN"/>
        </w:rPr>
        <w:t>.2</w:t>
      </w:r>
      <w:r>
        <w:rPr>
          <w:rFonts w:ascii="宋体" w:hAnsi="宋体" w:eastAsia="宋体"/>
          <w:sz w:val="24"/>
          <w:szCs w:val="21"/>
          <w:highlight w:val="none"/>
        </w:rPr>
        <w:t xml:space="preserve"> </w:t>
      </w:r>
      <w:r>
        <w:rPr>
          <w:rFonts w:hint="default" w:eastAsia="宋体"/>
          <w:sz w:val="24"/>
          <w:szCs w:val="22"/>
          <w:highlight w:val="none"/>
          <w:lang w:val="en-US" w:eastAsia="zh-CN"/>
        </w:rPr>
        <w:t>现场提交地点：</w:t>
      </w:r>
      <w:r>
        <w:rPr>
          <w:rFonts w:hint="eastAsia" w:eastAsia="宋体"/>
          <w:sz w:val="24"/>
          <w:szCs w:val="22"/>
          <w:highlight w:val="none"/>
          <w:lang w:val="en-US" w:eastAsia="zh-CN"/>
        </w:rPr>
        <w:t>开平市中心医院</w:t>
      </w:r>
      <w:r>
        <w:rPr>
          <w:rFonts w:hint="default" w:eastAsia="宋体"/>
          <w:sz w:val="24"/>
          <w:szCs w:val="22"/>
          <w:highlight w:val="none"/>
          <w:lang w:val="en-US" w:eastAsia="zh-CN"/>
        </w:rPr>
        <w:t>张襯大楼六楼后勤股</w:t>
      </w:r>
      <w:r>
        <w:rPr>
          <w:rFonts w:hint="eastAsia" w:eastAsia="宋体"/>
          <w:sz w:val="24"/>
          <w:szCs w:val="22"/>
          <w:highlight w:val="none"/>
          <w:lang w:val="en-US" w:eastAsia="zh-CN"/>
        </w:rPr>
        <w:t>（地址：</w:t>
      </w:r>
      <w:r>
        <w:rPr>
          <w:rFonts w:hint="default" w:eastAsia="宋体"/>
          <w:sz w:val="24"/>
          <w:szCs w:val="22"/>
          <w:highlight w:val="none"/>
          <w:lang w:val="en-US" w:eastAsia="zh-CN"/>
        </w:rPr>
        <w:t>开平市长沙街道办事处三江A7区）</w:t>
      </w:r>
    </w:p>
    <w:p w14:paraId="4FF913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sz w:val="24"/>
          <w:szCs w:val="22"/>
          <w:highlight w:val="none"/>
          <w:lang w:val="en-US" w:eastAsia="zh-CN"/>
        </w:rPr>
      </w:pPr>
      <w:r>
        <w:rPr>
          <w:rFonts w:ascii="宋体" w:hAnsi="宋体" w:eastAsia="宋体"/>
          <w:sz w:val="24"/>
          <w:szCs w:val="21"/>
          <w:highlight w:val="none"/>
        </w:rPr>
        <w:t>1</w:t>
      </w:r>
      <w:r>
        <w:rPr>
          <w:rFonts w:hint="eastAsia" w:ascii="宋体" w:hAnsi="宋体" w:eastAsia="宋体"/>
          <w:sz w:val="24"/>
          <w:szCs w:val="21"/>
          <w:highlight w:val="none"/>
          <w:lang w:val="en-US" w:eastAsia="zh-CN"/>
        </w:rPr>
        <w:t>5</w:t>
      </w:r>
      <w:r>
        <w:rPr>
          <w:rFonts w:ascii="宋体" w:hAnsi="宋体" w:eastAsia="宋体"/>
          <w:sz w:val="24"/>
          <w:szCs w:val="21"/>
          <w:highlight w:val="none"/>
        </w:rPr>
        <w:t>.1</w:t>
      </w:r>
      <w:r>
        <w:rPr>
          <w:rFonts w:hint="eastAsia" w:ascii="宋体" w:hAnsi="宋体" w:eastAsia="宋体"/>
          <w:sz w:val="24"/>
          <w:szCs w:val="21"/>
          <w:highlight w:val="none"/>
          <w:lang w:val="en-US" w:eastAsia="zh-CN"/>
        </w:rPr>
        <w:t>.3</w:t>
      </w:r>
      <w:r>
        <w:rPr>
          <w:rFonts w:ascii="宋体" w:hAnsi="宋体" w:eastAsia="宋体"/>
          <w:sz w:val="24"/>
          <w:szCs w:val="21"/>
          <w:highlight w:val="none"/>
        </w:rPr>
        <w:t xml:space="preserve"> </w:t>
      </w:r>
      <w:r>
        <w:rPr>
          <w:rFonts w:hint="default" w:eastAsia="宋体"/>
          <w:sz w:val="24"/>
          <w:szCs w:val="22"/>
          <w:highlight w:val="none"/>
          <w:lang w:val="en-US" w:eastAsia="zh-CN"/>
        </w:rPr>
        <w:t>邮寄信息：广东省开平市长沙街道办事处三江A7区，开平市中心医院张襯大楼（收件人：龚小姐，电话：15917318304）</w:t>
      </w:r>
    </w:p>
    <w:p w14:paraId="20E944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1"/>
          <w:highlight w:val="none"/>
        </w:rPr>
      </w:pPr>
      <w:r>
        <w:rPr>
          <w:rFonts w:ascii="宋体" w:hAnsi="宋体" w:eastAsia="宋体"/>
          <w:sz w:val="24"/>
          <w:szCs w:val="21"/>
          <w:highlight w:val="none"/>
        </w:rPr>
        <w:t>响应文件递交地点：</w:t>
      </w:r>
      <w:r>
        <w:rPr>
          <w:rFonts w:hint="eastAsia" w:eastAsia="宋体"/>
          <w:sz w:val="24"/>
          <w:szCs w:val="22"/>
          <w:highlight w:val="none"/>
          <w:lang w:val="en-US" w:eastAsia="zh-CN"/>
        </w:rPr>
        <w:t>开平市中心医院张襯大楼6楼后勤股</w:t>
      </w:r>
      <w:r>
        <w:rPr>
          <w:rFonts w:hint="eastAsia" w:eastAsia="宋体"/>
          <w:sz w:val="24"/>
          <w:szCs w:val="22"/>
          <w:highlight w:val="none"/>
        </w:rPr>
        <w:t>（地址：</w:t>
      </w:r>
      <w:r>
        <w:rPr>
          <w:rFonts w:hint="eastAsia" w:ascii="宋体" w:hAnsi="宋体" w:eastAsia="宋体" w:cs="宋体"/>
          <w:i w:val="0"/>
          <w:iCs w:val="0"/>
          <w:caps w:val="0"/>
          <w:color w:val="auto"/>
          <w:spacing w:val="0"/>
          <w:sz w:val="24"/>
          <w:szCs w:val="24"/>
          <w:highlight w:val="none"/>
          <w:u w:val="none"/>
        </w:rPr>
        <w:fldChar w:fldCharType="begin"/>
      </w:r>
      <w:r>
        <w:rPr>
          <w:rFonts w:hint="eastAsia" w:ascii="宋体" w:hAnsi="宋体" w:eastAsia="宋体" w:cs="宋体"/>
          <w:i w:val="0"/>
          <w:iCs w:val="0"/>
          <w:caps w:val="0"/>
          <w:color w:val="auto"/>
          <w:spacing w:val="0"/>
          <w:sz w:val="24"/>
          <w:szCs w:val="24"/>
          <w:highlight w:val="none"/>
          <w:u w:val="none"/>
        </w:rPr>
        <w:instrText xml:space="preserve"> HYPERLINK "https://www.kpzxyy.com/location/" </w:instrText>
      </w:r>
      <w:r>
        <w:rPr>
          <w:rFonts w:hint="eastAsia" w:ascii="宋体" w:hAnsi="宋体" w:eastAsia="宋体" w:cs="宋体"/>
          <w:i w:val="0"/>
          <w:iCs w:val="0"/>
          <w:caps w:val="0"/>
          <w:color w:val="auto"/>
          <w:spacing w:val="0"/>
          <w:sz w:val="24"/>
          <w:szCs w:val="24"/>
          <w:highlight w:val="none"/>
          <w:u w:val="none"/>
        </w:rPr>
        <w:fldChar w:fldCharType="separate"/>
      </w:r>
      <w:r>
        <w:rPr>
          <w:rStyle w:val="48"/>
          <w:rFonts w:hint="eastAsia" w:ascii="宋体" w:hAnsi="宋体" w:eastAsia="宋体" w:cs="宋体"/>
          <w:i w:val="0"/>
          <w:iCs w:val="0"/>
          <w:caps w:val="0"/>
          <w:color w:val="auto"/>
          <w:spacing w:val="0"/>
          <w:sz w:val="24"/>
          <w:szCs w:val="24"/>
          <w:highlight w:val="none"/>
          <w:u w:val="none"/>
        </w:rPr>
        <w:t>广东省江门市开平市长沙街道办事处三江A7区</w:t>
      </w:r>
      <w:r>
        <w:rPr>
          <w:rFonts w:hint="eastAsia" w:ascii="宋体" w:hAnsi="宋体" w:eastAsia="宋体" w:cs="宋体"/>
          <w:i w:val="0"/>
          <w:iCs w:val="0"/>
          <w:caps w:val="0"/>
          <w:color w:val="auto"/>
          <w:spacing w:val="0"/>
          <w:sz w:val="24"/>
          <w:szCs w:val="24"/>
          <w:highlight w:val="none"/>
          <w:u w:val="none"/>
        </w:rPr>
        <w:fldChar w:fldCharType="end"/>
      </w:r>
      <w:r>
        <w:rPr>
          <w:rFonts w:hint="eastAsia" w:ascii="宋体" w:hAnsi="宋体" w:eastAsia="宋体"/>
          <w:sz w:val="24"/>
          <w:szCs w:val="22"/>
          <w:highlight w:val="none"/>
        </w:rPr>
        <w:t>）</w:t>
      </w:r>
    </w:p>
    <w:p w14:paraId="1298A2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2"/>
          <w:highlight w:val="none"/>
        </w:rPr>
      </w:pPr>
      <w:r>
        <w:rPr>
          <w:rFonts w:ascii="宋体" w:hAnsi="宋体" w:eastAsia="宋体"/>
          <w:sz w:val="24"/>
          <w:szCs w:val="21"/>
          <w:highlight w:val="none"/>
        </w:rPr>
        <w:t>1</w:t>
      </w:r>
      <w:r>
        <w:rPr>
          <w:rFonts w:hint="eastAsia" w:ascii="宋体" w:hAnsi="宋体" w:eastAsia="宋体"/>
          <w:sz w:val="24"/>
          <w:szCs w:val="21"/>
          <w:highlight w:val="none"/>
          <w:lang w:val="en-US" w:eastAsia="zh-CN"/>
        </w:rPr>
        <w:t>5</w:t>
      </w:r>
      <w:r>
        <w:rPr>
          <w:rFonts w:ascii="宋体" w:hAnsi="宋体" w:eastAsia="宋体"/>
          <w:sz w:val="24"/>
          <w:szCs w:val="21"/>
          <w:highlight w:val="none"/>
        </w:rPr>
        <w:t>.2</w:t>
      </w:r>
      <w:r>
        <w:rPr>
          <w:rFonts w:hint="eastAsia" w:ascii="宋体" w:hAnsi="宋体" w:eastAsia="宋体"/>
          <w:sz w:val="24"/>
          <w:szCs w:val="22"/>
          <w:highlight w:val="none"/>
        </w:rPr>
        <w:t>递交</w:t>
      </w:r>
      <w:r>
        <w:rPr>
          <w:rFonts w:hint="eastAsia" w:ascii="宋体" w:hAnsi="宋体" w:eastAsia="宋体"/>
          <w:sz w:val="24"/>
          <w:szCs w:val="22"/>
          <w:highlight w:val="none"/>
          <w:lang w:val="en-US" w:eastAsia="zh-CN"/>
        </w:rPr>
        <w:t>响</w:t>
      </w:r>
      <w:r>
        <w:rPr>
          <w:rFonts w:hint="eastAsia" w:ascii="宋体" w:hAnsi="宋体" w:eastAsia="宋体"/>
          <w:sz w:val="24"/>
          <w:szCs w:val="22"/>
          <w:lang w:val="en-US" w:eastAsia="zh-CN"/>
        </w:rPr>
        <w:t>应</w:t>
      </w:r>
      <w:r>
        <w:rPr>
          <w:rFonts w:hint="eastAsia" w:ascii="宋体" w:hAnsi="宋体" w:eastAsia="宋体"/>
          <w:sz w:val="24"/>
          <w:szCs w:val="22"/>
        </w:rPr>
        <w:t>文件时间：</w:t>
      </w:r>
      <w:r>
        <w:rPr>
          <w:rFonts w:hint="eastAsia" w:ascii="宋体" w:hAnsi="宋体" w:eastAsia="宋体"/>
          <w:sz w:val="24"/>
          <w:szCs w:val="22"/>
          <w:highlight w:val="none"/>
        </w:rPr>
        <w:t>时间:2025年9月</w:t>
      </w:r>
      <w:r>
        <w:rPr>
          <w:rFonts w:hint="eastAsia" w:ascii="宋体" w:hAnsi="宋体" w:eastAsia="宋体"/>
          <w:sz w:val="24"/>
          <w:szCs w:val="22"/>
          <w:highlight w:val="none"/>
          <w:lang w:val="en-US" w:eastAsia="zh-CN"/>
        </w:rPr>
        <w:t>2</w:t>
      </w:r>
      <w:r>
        <w:rPr>
          <w:rFonts w:hint="eastAsia" w:ascii="宋体" w:hAnsi="宋体" w:eastAsia="宋体"/>
          <w:sz w:val="24"/>
          <w:szCs w:val="22"/>
          <w:highlight w:val="none"/>
        </w:rPr>
        <w:t>9日-2025年</w:t>
      </w:r>
      <w:r>
        <w:rPr>
          <w:rFonts w:hint="eastAsia" w:ascii="宋体" w:hAnsi="宋体" w:eastAsia="宋体"/>
          <w:sz w:val="24"/>
          <w:szCs w:val="22"/>
          <w:highlight w:val="none"/>
          <w:lang w:val="en-US" w:eastAsia="zh-CN"/>
        </w:rPr>
        <w:t>10</w:t>
      </w:r>
      <w:r>
        <w:rPr>
          <w:rFonts w:hint="eastAsia" w:ascii="宋体" w:hAnsi="宋体" w:eastAsia="宋体"/>
          <w:sz w:val="24"/>
          <w:szCs w:val="22"/>
          <w:highlight w:val="none"/>
        </w:rPr>
        <w:t>月</w:t>
      </w:r>
      <w:r>
        <w:rPr>
          <w:rFonts w:hint="eastAsia" w:ascii="宋体" w:hAnsi="宋体" w:eastAsia="宋体"/>
          <w:sz w:val="24"/>
          <w:szCs w:val="22"/>
          <w:highlight w:val="none"/>
          <w:lang w:val="en-US" w:eastAsia="zh-CN"/>
        </w:rPr>
        <w:t>11</w:t>
      </w:r>
      <w:r>
        <w:rPr>
          <w:rFonts w:hint="eastAsia" w:ascii="宋体" w:hAnsi="宋体" w:eastAsia="宋体"/>
          <w:sz w:val="24"/>
          <w:szCs w:val="22"/>
          <w:highlight w:val="none"/>
        </w:rPr>
        <w:t>日</w:t>
      </w:r>
    </w:p>
    <w:p w14:paraId="7C5A87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2"/>
          <w:highlight w:val="yellow"/>
        </w:rPr>
      </w:pPr>
      <w:r>
        <w:rPr>
          <w:rFonts w:hint="eastAsia" w:ascii="宋体" w:hAnsi="宋体" w:eastAsia="宋体"/>
          <w:sz w:val="24"/>
          <w:szCs w:val="22"/>
          <w:highlight w:val="none"/>
        </w:rPr>
        <w:t>（工作日上午8：00——11:30，下午2:00——5:30）</w:t>
      </w:r>
    </w:p>
    <w:p w14:paraId="21A087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3"/>
        <w:rPr>
          <w:rFonts w:ascii="宋体" w:hAnsi="宋体" w:eastAsia="宋体"/>
          <w:sz w:val="24"/>
          <w:szCs w:val="21"/>
        </w:rPr>
      </w:pPr>
      <w:r>
        <w:rPr>
          <w:rFonts w:ascii="宋体" w:hAnsi="宋体" w:eastAsia="宋体"/>
          <w:sz w:val="24"/>
          <w:szCs w:val="21"/>
        </w:rPr>
        <w:t>1</w:t>
      </w:r>
      <w:r>
        <w:rPr>
          <w:rFonts w:hint="eastAsia" w:ascii="宋体" w:hAnsi="宋体" w:eastAsia="宋体"/>
          <w:sz w:val="24"/>
          <w:szCs w:val="21"/>
          <w:lang w:val="en-US" w:eastAsia="zh-CN"/>
        </w:rPr>
        <w:t>5</w:t>
      </w:r>
      <w:r>
        <w:rPr>
          <w:rFonts w:ascii="宋体" w:hAnsi="宋体" w:eastAsia="宋体"/>
          <w:sz w:val="24"/>
          <w:szCs w:val="21"/>
        </w:rPr>
        <w:t>.</w:t>
      </w:r>
      <w:r>
        <w:rPr>
          <w:rFonts w:hint="eastAsia" w:ascii="宋体" w:hAnsi="宋体" w:eastAsia="宋体"/>
          <w:sz w:val="24"/>
          <w:szCs w:val="21"/>
          <w:lang w:val="en-US" w:eastAsia="zh-CN"/>
        </w:rPr>
        <w:t>3</w:t>
      </w:r>
      <w:r>
        <w:rPr>
          <w:rFonts w:ascii="宋体" w:hAnsi="宋体" w:eastAsia="宋体"/>
          <w:sz w:val="24"/>
          <w:szCs w:val="21"/>
        </w:rPr>
        <w:t>采购</w:t>
      </w:r>
      <w:r>
        <w:rPr>
          <w:rFonts w:hint="eastAsia" w:ascii="宋体" w:hAnsi="宋体" w:eastAsia="宋体"/>
          <w:sz w:val="24"/>
          <w:szCs w:val="21"/>
          <w:lang w:val="en-US" w:eastAsia="zh-CN"/>
        </w:rPr>
        <w:t>人</w:t>
      </w:r>
      <w:r>
        <w:rPr>
          <w:rFonts w:ascii="宋体" w:hAnsi="宋体" w:eastAsia="宋体"/>
          <w:sz w:val="24"/>
          <w:szCs w:val="21"/>
        </w:rPr>
        <w:t>拒绝接受以下文件：</w:t>
      </w:r>
    </w:p>
    <w:p w14:paraId="1BABBF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1"/>
        </w:rPr>
      </w:pPr>
      <w:r>
        <w:rPr>
          <w:rFonts w:ascii="宋体" w:hAnsi="宋体" w:eastAsia="宋体"/>
          <w:sz w:val="24"/>
          <w:szCs w:val="21"/>
        </w:rPr>
        <w:t>（1）提前递交的文件</w:t>
      </w:r>
      <w:r>
        <w:rPr>
          <w:rFonts w:hint="eastAsia" w:ascii="宋体" w:hAnsi="宋体" w:eastAsia="宋体"/>
          <w:sz w:val="24"/>
          <w:szCs w:val="21"/>
        </w:rPr>
        <w:t>。</w:t>
      </w:r>
    </w:p>
    <w:p w14:paraId="02E4E4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1"/>
        </w:rPr>
      </w:pPr>
      <w:r>
        <w:rPr>
          <w:rFonts w:ascii="宋体" w:hAnsi="宋体" w:eastAsia="宋体"/>
          <w:sz w:val="24"/>
          <w:szCs w:val="21"/>
        </w:rPr>
        <w:t>（2）在响应截止时间后递交的响应文件</w:t>
      </w:r>
      <w:r>
        <w:rPr>
          <w:rFonts w:hint="eastAsia" w:ascii="宋体" w:hAnsi="宋体" w:eastAsia="宋体"/>
          <w:sz w:val="24"/>
          <w:szCs w:val="21"/>
        </w:rPr>
        <w:t>。</w:t>
      </w:r>
    </w:p>
    <w:p w14:paraId="39560C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1"/>
        </w:rPr>
      </w:pPr>
      <w:r>
        <w:rPr>
          <w:rFonts w:ascii="宋体" w:hAnsi="宋体" w:eastAsia="宋体"/>
          <w:sz w:val="24"/>
          <w:szCs w:val="21"/>
        </w:rPr>
        <w:t>（3）未按规定包装和密封的响应文件。</w:t>
      </w:r>
    </w:p>
    <w:p w14:paraId="0E4DE5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3"/>
        <w:rPr>
          <w:rFonts w:ascii="宋体" w:hAnsi="宋体" w:eastAsia="宋体"/>
          <w:b/>
          <w:bCs/>
          <w:sz w:val="24"/>
          <w:szCs w:val="21"/>
          <w:lang w:val="zh-CN"/>
        </w:rPr>
      </w:pPr>
      <w:r>
        <w:rPr>
          <w:rFonts w:ascii="宋体" w:hAnsi="宋体" w:eastAsia="宋体"/>
          <w:sz w:val="24"/>
          <w:szCs w:val="21"/>
        </w:rPr>
        <w:t>1</w:t>
      </w:r>
      <w:r>
        <w:rPr>
          <w:rFonts w:hint="eastAsia" w:ascii="宋体" w:hAnsi="宋体" w:eastAsia="宋体"/>
          <w:sz w:val="24"/>
          <w:szCs w:val="21"/>
          <w:lang w:val="en-US" w:eastAsia="zh-CN"/>
        </w:rPr>
        <w:t>5</w:t>
      </w:r>
      <w:r>
        <w:rPr>
          <w:rFonts w:ascii="宋体" w:hAnsi="宋体" w:eastAsia="宋体"/>
          <w:sz w:val="24"/>
          <w:szCs w:val="21"/>
        </w:rPr>
        <w:t>.</w:t>
      </w:r>
      <w:r>
        <w:rPr>
          <w:rFonts w:hint="eastAsia" w:ascii="宋体" w:hAnsi="宋体" w:eastAsia="宋体"/>
          <w:sz w:val="24"/>
          <w:szCs w:val="21"/>
          <w:lang w:val="en-US" w:eastAsia="zh-CN"/>
        </w:rPr>
        <w:t>4</w:t>
      </w:r>
      <w:r>
        <w:rPr>
          <w:rFonts w:ascii="宋体" w:hAnsi="宋体" w:eastAsia="宋体"/>
          <w:sz w:val="24"/>
          <w:szCs w:val="21"/>
        </w:rPr>
        <w:t>响应文件的修改与撤回</w:t>
      </w:r>
    </w:p>
    <w:p w14:paraId="522A01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1"/>
        </w:rPr>
      </w:pPr>
      <w:r>
        <w:rPr>
          <w:rFonts w:ascii="宋体" w:hAnsi="宋体" w:eastAsia="宋体"/>
          <w:sz w:val="24"/>
          <w:szCs w:val="21"/>
        </w:rPr>
        <w:t>（1）供应商在递交响应文件后到响应截止时间之前，可以补充、修改或撤回其响应文件，但供应商必须以书面形式通知采购</w:t>
      </w:r>
      <w:r>
        <w:rPr>
          <w:rFonts w:hint="eastAsia" w:ascii="宋体" w:hAnsi="宋体" w:eastAsia="宋体"/>
          <w:sz w:val="24"/>
          <w:szCs w:val="21"/>
          <w:lang w:val="en-US" w:eastAsia="zh-CN"/>
        </w:rPr>
        <w:t>人</w:t>
      </w:r>
      <w:r>
        <w:rPr>
          <w:rFonts w:ascii="宋体" w:hAnsi="宋体" w:eastAsia="宋体"/>
          <w:sz w:val="24"/>
          <w:szCs w:val="21"/>
        </w:rPr>
        <w:t>。补充、修改的内容与响应文件不一致的，以补偿、修改的内容为准。</w:t>
      </w:r>
    </w:p>
    <w:p w14:paraId="64DB66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1"/>
        </w:rPr>
      </w:pPr>
      <w:r>
        <w:rPr>
          <w:rFonts w:ascii="宋体" w:hAnsi="宋体" w:eastAsia="宋体"/>
          <w:sz w:val="24"/>
          <w:szCs w:val="21"/>
        </w:rPr>
        <w:t>（2）除法律法规允许的情况外，在响应截止时间之后至响应有效期之间的这段时间内，供应商不得对其响应文件做任何修改，亦不得撤回其响应，否则</w:t>
      </w:r>
      <w:r>
        <w:rPr>
          <w:rFonts w:hint="eastAsia" w:ascii="宋体" w:hAnsi="宋体" w:eastAsia="宋体"/>
          <w:sz w:val="24"/>
          <w:szCs w:val="21"/>
          <w:lang w:val="en-US" w:eastAsia="zh-CN"/>
        </w:rPr>
        <w:t>取消投标资格</w:t>
      </w:r>
      <w:r>
        <w:rPr>
          <w:rFonts w:ascii="宋体" w:hAnsi="宋体" w:eastAsia="宋体"/>
          <w:sz w:val="24"/>
          <w:szCs w:val="21"/>
        </w:rPr>
        <w:t>。</w:t>
      </w:r>
    </w:p>
    <w:bookmarkEnd w:id="50"/>
    <w:bookmarkEnd w:id="51"/>
    <w:bookmarkEnd w:id="52"/>
    <w:bookmarkEnd w:id="53"/>
    <w:bookmarkEnd w:id="54"/>
    <w:bookmarkEnd w:id="55"/>
    <w:bookmarkEnd w:id="56"/>
    <w:bookmarkEnd w:id="57"/>
    <w:bookmarkEnd w:id="58"/>
    <w:bookmarkEnd w:id="59"/>
    <w:bookmarkEnd w:id="60"/>
    <w:bookmarkEnd w:id="127"/>
    <w:bookmarkEnd w:id="128"/>
    <w:bookmarkEnd w:id="129"/>
    <w:bookmarkEnd w:id="130"/>
    <w:bookmarkEnd w:id="131"/>
    <w:p w14:paraId="300BFE7E">
      <w:pPr>
        <w:rPr>
          <w:rFonts w:ascii="Times New Roman"/>
          <w:sz w:val="36"/>
          <w:szCs w:val="28"/>
        </w:rPr>
      </w:pPr>
      <w:bookmarkStart w:id="143" w:name="_Toc169861823"/>
      <w:bookmarkStart w:id="144" w:name="_Toc51756491"/>
      <w:bookmarkStart w:id="145" w:name="_Toc51939456"/>
      <w:bookmarkStart w:id="146" w:name="_Toc52027926"/>
      <w:bookmarkStart w:id="147" w:name="_Toc56353011"/>
      <w:bookmarkStart w:id="148" w:name="_Toc52021538"/>
      <w:bookmarkStart w:id="149" w:name="_Toc467050236"/>
      <w:bookmarkStart w:id="150" w:name="_Toc476976198"/>
      <w:bookmarkStart w:id="151" w:name="_Toc486671570"/>
      <w:bookmarkStart w:id="152" w:name="_Toc467236766"/>
      <w:bookmarkStart w:id="153" w:name="_Toc467049706"/>
      <w:bookmarkStart w:id="154" w:name="_Toc457975339"/>
      <w:r>
        <w:rPr>
          <w:rFonts w:ascii="Times New Roman"/>
          <w:sz w:val="36"/>
          <w:szCs w:val="28"/>
        </w:rPr>
        <w:br w:type="page"/>
      </w:r>
    </w:p>
    <w:p w14:paraId="2EE59E0A">
      <w:pPr>
        <w:pStyle w:val="3"/>
        <w:keepNext w:val="0"/>
        <w:keepLines w:val="0"/>
        <w:spacing w:before="0" w:after="0" w:line="360" w:lineRule="auto"/>
        <w:jc w:val="center"/>
        <w:rPr>
          <w:rFonts w:hint="eastAsia" w:ascii="Times New Roman" w:eastAsia="宋体"/>
          <w:sz w:val="36"/>
          <w:szCs w:val="28"/>
          <w:lang w:eastAsia="zh-CN"/>
        </w:rPr>
      </w:pPr>
      <w:r>
        <w:rPr>
          <w:rFonts w:ascii="Times New Roman"/>
          <w:sz w:val="36"/>
          <w:szCs w:val="28"/>
        </w:rPr>
        <w:t>第</w:t>
      </w:r>
      <w:r>
        <w:rPr>
          <w:rFonts w:hint="eastAsia" w:ascii="Times New Roman"/>
          <w:sz w:val="36"/>
          <w:szCs w:val="28"/>
          <w:lang w:val="en-US" w:eastAsia="zh-CN"/>
        </w:rPr>
        <w:t>三</w:t>
      </w:r>
      <w:r>
        <w:rPr>
          <w:rFonts w:ascii="Times New Roman"/>
          <w:sz w:val="36"/>
          <w:szCs w:val="28"/>
        </w:rPr>
        <w:t>部分</w:t>
      </w:r>
      <w:r>
        <w:rPr>
          <w:rFonts w:hint="eastAsia" w:ascii="Times New Roman"/>
          <w:sz w:val="36"/>
          <w:szCs w:val="28"/>
        </w:rPr>
        <w:t xml:space="preserve"> 评审</w:t>
      </w:r>
      <w:bookmarkEnd w:id="143"/>
      <w:r>
        <w:rPr>
          <w:rFonts w:hint="eastAsia" w:ascii="Times New Roman"/>
          <w:sz w:val="36"/>
          <w:szCs w:val="28"/>
          <w:lang w:val="en-US" w:eastAsia="zh-CN"/>
        </w:rPr>
        <w:t>内容</w:t>
      </w:r>
    </w:p>
    <w:p w14:paraId="60F4E712">
      <w:pPr>
        <w:pStyle w:val="23"/>
        <w:tabs>
          <w:tab w:val="left" w:pos="945"/>
          <w:tab w:val="left" w:pos="1050"/>
        </w:tabs>
        <w:spacing w:line="480" w:lineRule="exact"/>
        <w:ind w:firstLine="480" w:firstLineChars="200"/>
        <w:rPr>
          <w:rFonts w:hint="eastAsia" w:hAnsi="宋体"/>
          <w:b/>
          <w:color w:val="auto"/>
          <w:sz w:val="24"/>
        </w:rPr>
      </w:pPr>
      <w:r>
        <w:rPr>
          <w:rFonts w:hint="eastAsia" w:hAnsi="宋体"/>
          <w:color w:val="auto"/>
          <w:sz w:val="24"/>
        </w:rPr>
        <w:t>本项目采用综合评分法，即满足</w:t>
      </w:r>
      <w:r>
        <w:rPr>
          <w:rFonts w:hint="eastAsia" w:hAnsi="宋体"/>
          <w:color w:val="auto"/>
          <w:sz w:val="24"/>
          <w:lang w:val="en-US" w:eastAsia="zh-CN"/>
        </w:rPr>
        <w:t>遴选</w:t>
      </w:r>
      <w:r>
        <w:rPr>
          <w:rFonts w:hint="eastAsia" w:hAnsi="宋体"/>
          <w:color w:val="auto"/>
          <w:sz w:val="24"/>
        </w:rPr>
        <w:t>文件全部实质性要求的响应人才能进入评比阶段，对未能通过资格审查和符合性审查的响应文件作无效响应处理，且按照评审因素的量化指标评审得分最高的响应人为成交候选供应商的评审方法。</w:t>
      </w:r>
      <w:r>
        <w:rPr>
          <w:rFonts w:hint="eastAsia" w:hAnsi="宋体"/>
          <w:b/>
          <w:bCs/>
          <w:color w:val="auto"/>
          <w:sz w:val="24"/>
          <w:lang w:val="en-US" w:eastAsia="zh-CN"/>
        </w:rPr>
        <w:t>评审</w:t>
      </w:r>
      <w:r>
        <w:rPr>
          <w:rFonts w:hint="eastAsia" w:hAnsi="宋体"/>
          <w:b/>
          <w:bCs/>
          <w:color w:val="auto"/>
          <w:sz w:val="24"/>
        </w:rPr>
        <w:t>小组对</w:t>
      </w:r>
      <w:r>
        <w:rPr>
          <w:rFonts w:hint="eastAsia" w:hAnsi="宋体"/>
          <w:b/>
          <w:bCs/>
          <w:color w:val="auto"/>
          <w:sz w:val="24"/>
          <w:lang w:val="en-US" w:eastAsia="zh-CN"/>
        </w:rPr>
        <w:t>提交有效报价</w:t>
      </w:r>
      <w:r>
        <w:rPr>
          <w:rFonts w:hint="eastAsia" w:hAnsi="宋体"/>
          <w:b/>
          <w:bCs/>
          <w:color w:val="auto"/>
          <w:sz w:val="24"/>
        </w:rPr>
        <w:t>的供应商的响应文件和报价进行综合评分。</w:t>
      </w:r>
      <w:r>
        <w:rPr>
          <w:rFonts w:hint="eastAsia" w:hAnsi="宋体"/>
          <w:color w:val="auto"/>
          <w:sz w:val="24"/>
        </w:rPr>
        <w:t>评审以</w:t>
      </w:r>
      <w:r>
        <w:rPr>
          <w:rFonts w:hint="eastAsia" w:hAnsi="宋体"/>
          <w:color w:val="auto"/>
          <w:sz w:val="24"/>
          <w:lang w:val="en-US" w:eastAsia="zh-CN"/>
        </w:rPr>
        <w:t>遴选</w:t>
      </w:r>
      <w:r>
        <w:rPr>
          <w:rFonts w:hint="eastAsia" w:hAnsi="宋体"/>
          <w:color w:val="auto"/>
          <w:sz w:val="24"/>
        </w:rPr>
        <w:t>文件规定的条件为原则，最低报价不作为成交的唯一依据</w:t>
      </w:r>
      <w:r>
        <w:rPr>
          <w:rFonts w:hint="eastAsia" w:hAnsi="宋体"/>
          <w:b/>
          <w:color w:val="auto"/>
          <w:sz w:val="24"/>
        </w:rPr>
        <w:t>。</w:t>
      </w:r>
    </w:p>
    <w:p w14:paraId="1DFCAD47">
      <w:pPr>
        <w:pStyle w:val="23"/>
        <w:numPr>
          <w:ilvl w:val="0"/>
          <w:numId w:val="0"/>
        </w:numPr>
        <w:tabs>
          <w:tab w:val="left" w:pos="945"/>
          <w:tab w:val="left" w:pos="1050"/>
        </w:tabs>
        <w:spacing w:line="480" w:lineRule="exact"/>
        <w:ind w:firstLine="241" w:firstLineChars="100"/>
        <w:rPr>
          <w:rFonts w:hint="eastAsia" w:hAnsi="宋体"/>
          <w:b/>
          <w:color w:val="auto"/>
          <w:sz w:val="24"/>
          <w:szCs w:val="24"/>
        </w:rPr>
      </w:pPr>
      <w:r>
        <w:rPr>
          <w:rFonts w:hint="eastAsia" w:hAnsi="宋体"/>
          <w:b/>
          <w:color w:val="auto"/>
          <w:sz w:val="24"/>
          <w:szCs w:val="24"/>
          <w:lang w:val="en-US" w:eastAsia="zh-CN"/>
        </w:rPr>
        <w:t>一、</w:t>
      </w:r>
      <w:r>
        <w:rPr>
          <w:rFonts w:hint="eastAsia" w:hAnsi="宋体"/>
          <w:b/>
          <w:color w:val="auto"/>
          <w:sz w:val="24"/>
          <w:szCs w:val="24"/>
        </w:rPr>
        <w:t>资格审查表</w:t>
      </w:r>
    </w:p>
    <w:tbl>
      <w:tblPr>
        <w:tblStyle w:val="4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7700"/>
      </w:tblGrid>
      <w:tr w14:paraId="68F1B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1" w:type="dxa"/>
            <w:noWrap w:val="0"/>
            <w:vAlign w:val="center"/>
          </w:tcPr>
          <w:p w14:paraId="3C47A677">
            <w:pPr>
              <w:pStyle w:val="23"/>
              <w:spacing w:line="480" w:lineRule="exact"/>
              <w:jc w:val="center"/>
              <w:rPr>
                <w:rFonts w:hAnsi="宋体"/>
                <w:color w:val="auto"/>
                <w:sz w:val="24"/>
                <w:szCs w:val="24"/>
              </w:rPr>
            </w:pPr>
            <w:r>
              <w:rPr>
                <w:rFonts w:hint="eastAsia" w:hAnsi="宋体"/>
                <w:color w:val="auto"/>
                <w:sz w:val="24"/>
                <w:szCs w:val="24"/>
              </w:rPr>
              <w:t>审查项目</w:t>
            </w:r>
          </w:p>
        </w:tc>
        <w:tc>
          <w:tcPr>
            <w:tcW w:w="7700" w:type="dxa"/>
            <w:noWrap w:val="0"/>
            <w:vAlign w:val="center"/>
          </w:tcPr>
          <w:p w14:paraId="0873F20B">
            <w:pPr>
              <w:pStyle w:val="23"/>
              <w:spacing w:line="480" w:lineRule="exact"/>
              <w:jc w:val="center"/>
              <w:rPr>
                <w:rFonts w:hAnsi="宋体"/>
                <w:color w:val="auto"/>
                <w:sz w:val="24"/>
                <w:szCs w:val="24"/>
              </w:rPr>
            </w:pPr>
            <w:r>
              <w:rPr>
                <w:rFonts w:hint="eastAsia" w:hAnsi="宋体"/>
                <w:color w:val="auto"/>
                <w:sz w:val="24"/>
                <w:szCs w:val="24"/>
              </w:rPr>
              <w:t>审查内容</w:t>
            </w:r>
          </w:p>
        </w:tc>
      </w:tr>
      <w:tr w14:paraId="18D7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dxa"/>
            <w:noWrap w:val="0"/>
            <w:vAlign w:val="center"/>
          </w:tcPr>
          <w:p w14:paraId="3B13948A">
            <w:pPr>
              <w:pStyle w:val="23"/>
              <w:spacing w:line="480" w:lineRule="exact"/>
              <w:jc w:val="center"/>
              <w:rPr>
                <w:rFonts w:hAnsi="宋体"/>
                <w:color w:val="auto"/>
                <w:sz w:val="24"/>
                <w:szCs w:val="24"/>
              </w:rPr>
            </w:pPr>
            <w:r>
              <w:rPr>
                <w:rFonts w:hint="eastAsia" w:hAnsi="宋体"/>
                <w:color w:val="auto"/>
                <w:sz w:val="24"/>
                <w:szCs w:val="24"/>
              </w:rPr>
              <w:t>资格审查</w:t>
            </w:r>
          </w:p>
        </w:tc>
        <w:tc>
          <w:tcPr>
            <w:tcW w:w="7700" w:type="dxa"/>
            <w:noWrap w:val="0"/>
            <w:vAlign w:val="center"/>
          </w:tcPr>
          <w:p w14:paraId="7C741D44">
            <w:pPr>
              <w:pStyle w:val="23"/>
              <w:spacing w:line="480" w:lineRule="exact"/>
              <w:rPr>
                <w:rFonts w:hint="eastAsia" w:hAnsi="宋体" w:cs="宋体"/>
                <w:color w:val="auto"/>
                <w:sz w:val="24"/>
                <w:szCs w:val="21"/>
              </w:rPr>
            </w:pPr>
            <w:r>
              <w:rPr>
                <w:rFonts w:hint="eastAsia" w:hAnsi="宋体" w:cs="宋体"/>
                <w:color w:val="auto"/>
                <w:sz w:val="24"/>
                <w:szCs w:val="21"/>
              </w:rPr>
              <w:t>1、</w:t>
            </w:r>
            <w:r>
              <w:rPr>
                <w:rFonts w:hint="eastAsia" w:hAnsi="宋体" w:cs="宋体"/>
                <w:color w:val="auto"/>
                <w:sz w:val="24"/>
                <w:szCs w:val="24"/>
              </w:rPr>
              <w:t>满足《中华人民共和国政府采购法》第二十二条规定</w:t>
            </w:r>
            <w:r>
              <w:rPr>
                <w:rFonts w:hint="eastAsia" w:hAnsi="宋体" w:cs="宋体"/>
                <w:color w:val="auto"/>
                <w:sz w:val="24"/>
                <w:szCs w:val="21"/>
              </w:rPr>
              <w:t>；</w:t>
            </w:r>
          </w:p>
          <w:p w14:paraId="5F6F4E4A">
            <w:pPr>
              <w:pStyle w:val="23"/>
              <w:spacing w:line="480" w:lineRule="exact"/>
              <w:rPr>
                <w:rFonts w:hint="eastAsia" w:hAnsi="宋体" w:cs="宋体"/>
                <w:color w:val="auto"/>
                <w:sz w:val="24"/>
                <w:szCs w:val="21"/>
                <w:highlight w:val="none"/>
              </w:rPr>
            </w:pPr>
            <w:r>
              <w:rPr>
                <w:rFonts w:hint="eastAsia" w:hAnsi="宋体" w:cs="宋体"/>
                <w:color w:val="auto"/>
                <w:sz w:val="24"/>
                <w:szCs w:val="21"/>
                <w:highlight w:val="none"/>
              </w:rPr>
              <w:t>2、落实政府采购政策需满足的资格要求：本项目专门面向中小企业采购，参与的响应人提供的服务全部由符合政策要求的中小企业承接（监狱企业、残疾人福利性单位视同小型、微型企业）；（提供《中小企业声明函》；若响应人为监狱企业、残疾人福利性单位的，则提供《残疾人福利性单位声明函》或省级以上监狱管理局、戒毒管理局（含新疆生产建设兵团）出具的《属于监狱企业的证明文件》复印件）。</w:t>
            </w:r>
          </w:p>
          <w:p w14:paraId="034455DD">
            <w:pPr>
              <w:pStyle w:val="23"/>
              <w:spacing w:line="480" w:lineRule="exact"/>
              <w:rPr>
                <w:rFonts w:hint="eastAsia" w:hAnsi="宋体" w:cs="宋体"/>
                <w:color w:val="auto"/>
                <w:sz w:val="24"/>
                <w:szCs w:val="22"/>
              </w:rPr>
            </w:pPr>
            <w:r>
              <w:rPr>
                <w:rFonts w:hint="eastAsia" w:hAnsi="宋体" w:cs="宋体"/>
                <w:color w:val="auto"/>
                <w:sz w:val="24"/>
                <w:szCs w:val="22"/>
              </w:rPr>
              <w:t>3、本项目的特定资格要求：</w:t>
            </w:r>
          </w:p>
          <w:p w14:paraId="1607900B">
            <w:pPr>
              <w:pStyle w:val="23"/>
              <w:spacing w:line="480" w:lineRule="exact"/>
              <w:rPr>
                <w:rFonts w:hint="eastAsia" w:hAnsi="宋体" w:cs="宋体"/>
                <w:color w:val="auto"/>
                <w:sz w:val="24"/>
                <w:szCs w:val="21"/>
              </w:rPr>
            </w:pPr>
            <w:r>
              <w:rPr>
                <w:rFonts w:hint="eastAsia" w:hAnsi="宋体" w:cs="宋体"/>
                <w:color w:val="auto"/>
                <w:sz w:val="24"/>
                <w:szCs w:val="21"/>
              </w:rPr>
              <w:t>（1）</w:t>
            </w:r>
            <w:r>
              <w:rPr>
                <w:rFonts w:hint="eastAsia" w:hAnsi="宋体" w:cs="宋体"/>
                <w:color w:val="auto"/>
                <w:sz w:val="24"/>
                <w:szCs w:val="22"/>
              </w:rPr>
              <w:t>响应人应当</w:t>
            </w:r>
            <w:r>
              <w:rPr>
                <w:rFonts w:hint="eastAsia" w:hAnsi="宋体" w:cs="宋体"/>
                <w:color w:val="auto"/>
                <w:sz w:val="24"/>
                <w:szCs w:val="24"/>
              </w:rPr>
              <w:t>具备《中华人民共和国政府采购法》第二十二条规定的条件；</w:t>
            </w:r>
          </w:p>
          <w:p w14:paraId="1D93FFCF">
            <w:pPr>
              <w:pStyle w:val="23"/>
              <w:spacing w:line="480" w:lineRule="exact"/>
              <w:rPr>
                <w:rFonts w:hint="eastAsia" w:hAnsi="宋体" w:cs="宋体"/>
                <w:color w:val="auto"/>
                <w:sz w:val="24"/>
                <w:szCs w:val="21"/>
              </w:rPr>
            </w:pPr>
            <w:r>
              <w:rPr>
                <w:rFonts w:hint="eastAsia" w:hAnsi="宋体" w:cs="宋体"/>
                <w:color w:val="auto"/>
                <w:sz w:val="24"/>
                <w:szCs w:val="21"/>
              </w:rPr>
              <w:t>1）响应人应当是具有独立承担民事责任能力的</w:t>
            </w:r>
            <w:r>
              <w:rPr>
                <w:rFonts w:hint="eastAsia" w:hAnsi="宋体" w:cs="宋体"/>
                <w:color w:val="auto"/>
                <w:kern w:val="0"/>
                <w:sz w:val="24"/>
                <w:szCs w:val="24"/>
              </w:rPr>
              <w:t>在中华人民共和国境内注册的</w:t>
            </w:r>
            <w:r>
              <w:rPr>
                <w:rFonts w:hint="eastAsia" w:hAnsi="宋体" w:cs="宋体"/>
                <w:color w:val="auto"/>
                <w:sz w:val="24"/>
                <w:szCs w:val="21"/>
              </w:rPr>
              <w:t>法人、其他组织或者自然人；（提供有效的</w:t>
            </w:r>
            <w:r>
              <w:rPr>
                <w:rFonts w:hint="eastAsia" w:hAnsi="宋体" w:cs="宋体"/>
                <w:color w:val="auto"/>
                <w:sz w:val="24"/>
              </w:rPr>
              <w:t>营业执照</w:t>
            </w:r>
            <w:r>
              <w:rPr>
                <w:rFonts w:hint="eastAsia" w:hAnsi="宋体" w:cs="宋体"/>
                <w:color w:val="auto"/>
                <w:sz w:val="24"/>
                <w:szCs w:val="21"/>
              </w:rPr>
              <w:t>或相关单位登记证书复印件</w:t>
            </w:r>
            <w:r>
              <w:rPr>
                <w:rFonts w:hint="eastAsia" w:hAnsi="宋体" w:cs="宋体"/>
                <w:color w:val="auto"/>
                <w:sz w:val="24"/>
              </w:rPr>
              <w:t>（</w:t>
            </w:r>
            <w:r>
              <w:rPr>
                <w:rFonts w:hint="eastAsia" w:hAnsi="宋体" w:cs="宋体"/>
                <w:bCs/>
                <w:color w:val="auto"/>
                <w:sz w:val="24"/>
              </w:rPr>
              <w:t>若法人或者其他组织响应的</w:t>
            </w:r>
            <w:r>
              <w:rPr>
                <w:rFonts w:hint="eastAsia" w:hAnsi="宋体" w:cs="宋体"/>
                <w:color w:val="auto"/>
                <w:sz w:val="24"/>
              </w:rPr>
              <w:t>），</w:t>
            </w:r>
            <w:r>
              <w:rPr>
                <w:rFonts w:hint="eastAsia" w:hAnsi="宋体" w:cs="宋体"/>
                <w:color w:val="auto"/>
                <w:sz w:val="24"/>
                <w:szCs w:val="21"/>
              </w:rPr>
              <w:t>自然人有效的身份证明复印件</w:t>
            </w:r>
            <w:r>
              <w:rPr>
                <w:rFonts w:hint="eastAsia" w:hAnsi="宋体" w:cs="宋体"/>
                <w:color w:val="auto"/>
                <w:sz w:val="24"/>
              </w:rPr>
              <w:t>（</w:t>
            </w:r>
            <w:r>
              <w:rPr>
                <w:rFonts w:hint="eastAsia" w:hAnsi="宋体" w:cs="宋体"/>
                <w:bCs/>
                <w:color w:val="auto"/>
                <w:sz w:val="24"/>
              </w:rPr>
              <w:t>若</w:t>
            </w:r>
            <w:r>
              <w:rPr>
                <w:rFonts w:hint="eastAsia" w:hAnsi="宋体" w:cs="宋体"/>
                <w:color w:val="auto"/>
                <w:sz w:val="24"/>
                <w:szCs w:val="21"/>
              </w:rPr>
              <w:t>自然人</w:t>
            </w:r>
            <w:r>
              <w:rPr>
                <w:rFonts w:hint="eastAsia" w:hAnsi="宋体" w:cs="宋体"/>
                <w:bCs/>
                <w:color w:val="auto"/>
                <w:sz w:val="24"/>
              </w:rPr>
              <w:t>响应的</w:t>
            </w:r>
            <w:r>
              <w:rPr>
                <w:rFonts w:hint="eastAsia" w:hAnsi="宋体" w:cs="宋体"/>
                <w:color w:val="auto"/>
                <w:sz w:val="24"/>
              </w:rPr>
              <w:t>）。</w:t>
            </w:r>
            <w:r>
              <w:rPr>
                <w:rFonts w:hint="eastAsia" w:hAnsi="宋体" w:cs="宋体"/>
                <w:bCs/>
                <w:color w:val="auto"/>
                <w:sz w:val="24"/>
              </w:rPr>
              <w:t>若分支机构响应的，</w:t>
            </w:r>
            <w:r>
              <w:rPr>
                <w:rFonts w:hint="eastAsia" w:hAnsi="宋体" w:cs="宋体"/>
                <w:color w:val="auto"/>
                <w:sz w:val="24"/>
              </w:rPr>
              <w:t>应当</w:t>
            </w:r>
            <w:r>
              <w:rPr>
                <w:rFonts w:hint="eastAsia" w:hAnsi="宋体" w:cs="宋体"/>
                <w:bCs/>
                <w:color w:val="auto"/>
                <w:sz w:val="24"/>
              </w:rPr>
              <w:t>取得总公司（总所）出具给分支机构的有效授权，并同时提供总公司（总所）的营业执照、总公司（总所）出具给分支机构的有效授权书及分支机构的营业执照复印件</w:t>
            </w:r>
            <w:r>
              <w:rPr>
                <w:rFonts w:hint="eastAsia" w:hAnsi="宋体" w:cs="宋体"/>
                <w:color w:val="auto"/>
                <w:sz w:val="24"/>
                <w:szCs w:val="21"/>
              </w:rPr>
              <w:t>）</w:t>
            </w:r>
          </w:p>
          <w:p w14:paraId="7E902C59">
            <w:pPr>
              <w:pStyle w:val="23"/>
              <w:spacing w:line="480" w:lineRule="exact"/>
              <w:rPr>
                <w:rFonts w:hint="eastAsia" w:hAnsi="宋体" w:cs="宋体"/>
                <w:sz w:val="24"/>
              </w:rPr>
            </w:pPr>
            <w:r>
              <w:rPr>
                <w:rFonts w:hint="eastAsia" w:hAnsi="宋体" w:cs="宋体"/>
                <w:sz w:val="24"/>
                <w:szCs w:val="21"/>
              </w:rPr>
              <w:t>2）响应人应当具有良好的商业信誉和健全的财务会计制度；（提供202</w:t>
            </w:r>
            <w:r>
              <w:rPr>
                <w:rFonts w:hint="eastAsia" w:hAnsi="宋体" w:cs="宋体"/>
                <w:sz w:val="24"/>
                <w:szCs w:val="21"/>
                <w:lang w:val="en-US" w:eastAsia="zh-CN"/>
              </w:rPr>
              <w:t>4</w:t>
            </w:r>
            <w:r>
              <w:rPr>
                <w:rFonts w:hint="eastAsia" w:hAnsi="宋体" w:cs="宋体"/>
                <w:sz w:val="24"/>
                <w:szCs w:val="21"/>
              </w:rPr>
              <w:t>年度财务状况报告或202</w:t>
            </w:r>
            <w:r>
              <w:rPr>
                <w:rFonts w:hint="eastAsia" w:hAnsi="宋体" w:cs="宋体"/>
                <w:sz w:val="24"/>
                <w:szCs w:val="21"/>
                <w:lang w:val="en-US" w:eastAsia="zh-CN"/>
              </w:rPr>
              <w:t>5</w:t>
            </w:r>
            <w:r>
              <w:rPr>
                <w:rFonts w:hint="eastAsia" w:hAnsi="宋体" w:cs="宋体"/>
                <w:sz w:val="24"/>
                <w:szCs w:val="21"/>
              </w:rPr>
              <w:t>年1月至今任意1个月的财务报表或银行出具的资信证明复印件）</w:t>
            </w:r>
          </w:p>
          <w:p w14:paraId="1B2B2FF8">
            <w:pPr>
              <w:pStyle w:val="23"/>
              <w:spacing w:line="480" w:lineRule="exact"/>
              <w:rPr>
                <w:rFonts w:hint="eastAsia" w:hAnsi="宋体" w:cs="宋体"/>
                <w:sz w:val="24"/>
                <w:szCs w:val="21"/>
              </w:rPr>
            </w:pPr>
            <w:r>
              <w:rPr>
                <w:rFonts w:hint="eastAsia" w:hAnsi="宋体" w:cs="宋体"/>
                <w:sz w:val="24"/>
                <w:szCs w:val="21"/>
              </w:rPr>
              <w:t>3）响应人应当具有履行合同所必需的</w:t>
            </w:r>
            <w:r>
              <w:rPr>
                <w:rFonts w:hint="eastAsia" w:hAnsi="宋体" w:cs="宋体"/>
                <w:sz w:val="24"/>
                <w:szCs w:val="21"/>
                <w:lang w:eastAsia="zh-CN"/>
              </w:rPr>
              <w:t>货物</w:t>
            </w:r>
            <w:r>
              <w:rPr>
                <w:rFonts w:hint="eastAsia" w:hAnsi="宋体" w:cs="宋体"/>
                <w:sz w:val="24"/>
                <w:szCs w:val="21"/>
              </w:rPr>
              <w:t>和专业技术能力；（提供《关于资格的声明函》）</w:t>
            </w:r>
          </w:p>
          <w:p w14:paraId="1244664A">
            <w:pPr>
              <w:pStyle w:val="23"/>
              <w:spacing w:line="480" w:lineRule="exact"/>
              <w:rPr>
                <w:rFonts w:hint="eastAsia" w:hAnsi="宋体" w:cs="宋体"/>
                <w:sz w:val="24"/>
                <w:szCs w:val="21"/>
              </w:rPr>
            </w:pPr>
            <w:r>
              <w:rPr>
                <w:rFonts w:hint="eastAsia" w:hAnsi="宋体" w:cs="宋体"/>
                <w:sz w:val="24"/>
                <w:szCs w:val="21"/>
              </w:rPr>
              <w:t>4）响应人应当有依法缴纳税收和社会保障资金的良好记录；（提供202</w:t>
            </w:r>
            <w:r>
              <w:rPr>
                <w:rFonts w:hint="eastAsia" w:hAnsi="宋体" w:cs="宋体"/>
                <w:sz w:val="24"/>
                <w:szCs w:val="21"/>
                <w:lang w:val="en-US" w:eastAsia="zh-CN"/>
              </w:rPr>
              <w:t>5</w:t>
            </w:r>
            <w:r>
              <w:rPr>
                <w:rFonts w:hint="eastAsia" w:hAnsi="宋体" w:cs="宋体"/>
                <w:sz w:val="24"/>
                <w:szCs w:val="21"/>
              </w:rPr>
              <w:t>年1月至今任意1个月的依法缴纳税收和社会保障资金的相关材料复印件；如依法免税或不需要缴纳社会保障资金的，应当提供相应证明文件复印件）</w:t>
            </w:r>
          </w:p>
          <w:p w14:paraId="4DAA3E6C">
            <w:pPr>
              <w:pStyle w:val="23"/>
              <w:spacing w:line="480" w:lineRule="exact"/>
              <w:rPr>
                <w:rFonts w:hint="eastAsia" w:hAnsi="宋体" w:cs="宋体"/>
                <w:color w:val="auto"/>
                <w:sz w:val="24"/>
                <w:szCs w:val="21"/>
              </w:rPr>
            </w:pPr>
            <w:r>
              <w:rPr>
                <w:rFonts w:hint="eastAsia" w:hAnsi="宋体" w:cs="宋体"/>
                <w:color w:val="auto"/>
                <w:sz w:val="24"/>
                <w:szCs w:val="21"/>
              </w:rPr>
              <w:t>5）响应人参加招标采购活动前三年内，在经营活动中没有重大违法记录；重大违法记录是指供应商因违法经营受到刑事处罚或者责令停产停业、吊销许可证或者执照、较大数额罚款等行政处罚，较大数额罚款按照《财政部关于&lt;中华人民共和国政府采购法实施条例&gt;第十九条第一款“较大数额罚款”具体适用问题的意见》（财库〔2022〕3号）执行；（提供《关于资格的声明函》）</w:t>
            </w:r>
          </w:p>
          <w:p w14:paraId="15AD8FDD">
            <w:pPr>
              <w:pStyle w:val="23"/>
              <w:spacing w:line="480" w:lineRule="exact"/>
              <w:rPr>
                <w:rFonts w:hint="eastAsia" w:hAnsi="宋体" w:cs="宋体"/>
                <w:color w:val="auto"/>
                <w:sz w:val="24"/>
                <w:szCs w:val="24"/>
                <w:shd w:val="clear" w:color="auto" w:fill="FFFFFF"/>
              </w:rPr>
            </w:pPr>
            <w:r>
              <w:rPr>
                <w:rFonts w:hint="eastAsia" w:hAnsi="宋体" w:cs="宋体"/>
                <w:color w:val="auto"/>
                <w:sz w:val="24"/>
                <w:szCs w:val="21"/>
              </w:rPr>
              <w:t>6）响应人应当符合法律、行政法规规定的其他条件。（提供《关于资格的声明函》）</w:t>
            </w:r>
          </w:p>
          <w:p w14:paraId="5E9CFAD5">
            <w:pPr>
              <w:pStyle w:val="23"/>
              <w:spacing w:line="480" w:lineRule="exact"/>
              <w:rPr>
                <w:rFonts w:hint="eastAsia" w:hAnsi="宋体" w:cs="宋体"/>
                <w:color w:val="auto"/>
                <w:sz w:val="24"/>
                <w:szCs w:val="22"/>
              </w:rPr>
            </w:pPr>
            <w:r>
              <w:rPr>
                <w:rFonts w:hint="eastAsia" w:hAnsi="宋体" w:cs="宋体"/>
                <w:color w:val="auto"/>
                <w:sz w:val="24"/>
                <w:szCs w:val="22"/>
              </w:rPr>
              <w:t>（2）</w:t>
            </w:r>
            <w:r>
              <w:rPr>
                <w:rFonts w:hint="eastAsia" w:hAnsi="宋体" w:cs="宋体"/>
                <w:color w:val="auto"/>
                <w:sz w:val="24"/>
                <w:szCs w:val="21"/>
              </w:rPr>
              <w:t>响应人</w:t>
            </w:r>
            <w:r>
              <w:rPr>
                <w:rFonts w:hint="eastAsia" w:hAnsi="宋体" w:cs="宋体"/>
                <w:color w:val="auto"/>
                <w:sz w:val="24"/>
                <w:szCs w:val="22"/>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w:t>
            </w:r>
            <w:r>
              <w:rPr>
                <w:rFonts w:hint="eastAsia" w:hAnsi="宋体"/>
                <w:color w:val="auto"/>
                <w:sz w:val="24"/>
              </w:rPr>
              <w:t>开启响应文件当日采购</w:t>
            </w:r>
            <w:r>
              <w:rPr>
                <w:rFonts w:hint="eastAsia" w:hAnsi="宋体"/>
                <w:color w:val="auto"/>
                <w:sz w:val="24"/>
                <w:lang w:val="en-US" w:eastAsia="zh-CN"/>
              </w:rPr>
              <w:t>人</w:t>
            </w:r>
            <w:r>
              <w:rPr>
                <w:rFonts w:hAnsi="宋体"/>
                <w:bCs/>
                <w:color w:val="auto"/>
                <w:sz w:val="24"/>
              </w:rPr>
              <w:t>通过“信用中国”网站（www.creditchina.gov.cn）、中国政府采购网（www.ccgp.gov.cn）查询</w:t>
            </w:r>
            <w:r>
              <w:rPr>
                <w:rFonts w:hint="eastAsia" w:hAnsi="宋体"/>
                <w:bCs/>
                <w:color w:val="auto"/>
                <w:sz w:val="24"/>
              </w:rPr>
              <w:t>响应人信用记录为准，如相关失信记录已失效，</w:t>
            </w:r>
            <w:r>
              <w:rPr>
                <w:rFonts w:hint="eastAsia" w:hAnsi="宋体" w:cs="宋体"/>
                <w:color w:val="auto"/>
                <w:sz w:val="24"/>
                <w:szCs w:val="21"/>
              </w:rPr>
              <w:t>应当提供相应证明文件复印件</w:t>
            </w:r>
            <w:r>
              <w:rPr>
                <w:rFonts w:hint="eastAsia" w:hAnsi="宋体" w:cs="宋体"/>
                <w:color w:val="auto"/>
                <w:sz w:val="24"/>
                <w:szCs w:val="22"/>
              </w:rPr>
              <w:t>）</w:t>
            </w:r>
          </w:p>
          <w:p w14:paraId="141B1B8B">
            <w:pPr>
              <w:pStyle w:val="23"/>
              <w:spacing w:line="480" w:lineRule="exact"/>
              <w:rPr>
                <w:rFonts w:hint="eastAsia" w:hAnsi="宋体" w:cs="宋体"/>
                <w:color w:val="auto"/>
                <w:sz w:val="24"/>
              </w:rPr>
            </w:pPr>
            <w:r>
              <w:rPr>
                <w:rFonts w:hint="eastAsia" w:hAnsi="宋体" w:cs="宋体"/>
                <w:color w:val="auto"/>
                <w:sz w:val="24"/>
              </w:rPr>
              <w:t>（3）单位负责人为同一人或者存在直接控股、管理关系的不同供应商，不得参加同一合同包项下的招标采购活动；</w:t>
            </w:r>
            <w:r>
              <w:rPr>
                <w:rFonts w:hint="eastAsia" w:hAnsi="宋体" w:cs="宋体"/>
                <w:color w:val="auto"/>
                <w:sz w:val="24"/>
                <w:szCs w:val="21"/>
              </w:rPr>
              <w:t>（提供《关于资格的声明函》）</w:t>
            </w:r>
          </w:p>
          <w:p w14:paraId="341AC8FB">
            <w:pPr>
              <w:pStyle w:val="23"/>
              <w:spacing w:line="480" w:lineRule="exact"/>
              <w:rPr>
                <w:rFonts w:hint="eastAsia" w:hAnsi="宋体" w:cs="宋体"/>
                <w:color w:val="auto"/>
                <w:sz w:val="24"/>
                <w:szCs w:val="21"/>
              </w:rPr>
            </w:pPr>
            <w:r>
              <w:rPr>
                <w:rFonts w:hint="eastAsia" w:hAnsi="宋体" w:cs="宋体"/>
                <w:color w:val="auto"/>
                <w:sz w:val="24"/>
              </w:rPr>
              <w:t>（4）</w:t>
            </w:r>
            <w:r>
              <w:rPr>
                <w:rFonts w:hint="eastAsia" w:hAnsi="宋体" w:cs="宋体"/>
                <w:color w:val="auto"/>
                <w:sz w:val="24"/>
                <w:szCs w:val="24"/>
              </w:rPr>
              <w:t>为本项目提供整体设计、规范编制或者项目管理、监理、检测等服务的供应商，不得再参加该采购项目的其他采购活动</w:t>
            </w:r>
            <w:r>
              <w:rPr>
                <w:rFonts w:hint="eastAsia" w:hAnsi="宋体" w:cs="宋体"/>
                <w:color w:val="auto"/>
                <w:sz w:val="24"/>
              </w:rPr>
              <w:t>；</w:t>
            </w:r>
            <w:r>
              <w:rPr>
                <w:rFonts w:hint="eastAsia" w:hAnsi="宋体" w:cs="宋体"/>
                <w:color w:val="auto"/>
                <w:sz w:val="24"/>
                <w:szCs w:val="21"/>
              </w:rPr>
              <w:t>（提供《关于资格的声明函》）</w:t>
            </w:r>
          </w:p>
          <w:p w14:paraId="3BD861F9">
            <w:pPr>
              <w:pStyle w:val="23"/>
              <w:spacing w:line="480" w:lineRule="exact"/>
              <w:rPr>
                <w:rFonts w:hint="eastAsia" w:ascii="宋体" w:hAnsi="宋体" w:eastAsia="宋体" w:cs="宋体"/>
                <w:color w:val="auto"/>
                <w:sz w:val="24"/>
                <w:szCs w:val="21"/>
              </w:rPr>
            </w:pPr>
            <w:r>
              <w:rPr>
                <w:rFonts w:hint="eastAsia" w:ascii="宋体" w:hAnsi="宋体" w:eastAsia="宋体" w:cs="宋体"/>
                <w:color w:val="auto"/>
                <w:sz w:val="24"/>
              </w:rPr>
              <w:t>（5）本合同包不接受联合体响应</w:t>
            </w:r>
            <w:r>
              <w:rPr>
                <w:rFonts w:hint="eastAsia" w:ascii="宋体" w:hAnsi="宋体" w:eastAsia="宋体" w:cs="宋体"/>
                <w:color w:val="auto"/>
                <w:sz w:val="24"/>
                <w:szCs w:val="21"/>
              </w:rPr>
              <w:t>。（提供《关于资格的声明函》）</w:t>
            </w:r>
          </w:p>
          <w:p w14:paraId="3D27329D">
            <w:pPr>
              <w:pStyle w:val="23"/>
              <w:spacing w:line="480" w:lineRule="exact"/>
              <w:rPr>
                <w:rFonts w:hint="eastAsia" w:ascii="宋体" w:hAnsi="宋体" w:cs="宋体"/>
                <w:bCs/>
                <w:sz w:val="24"/>
                <w:lang w:val="en-US" w:eastAsia="zh-CN"/>
              </w:rPr>
            </w:pPr>
            <w:r>
              <w:rPr>
                <w:rFonts w:hint="eastAsia" w:ascii="宋体" w:hAnsi="宋体" w:eastAsia="宋体" w:cs="宋体"/>
                <w:color w:val="auto"/>
                <w:sz w:val="24"/>
                <w:szCs w:val="21"/>
                <w:lang w:eastAsia="zh-CN"/>
              </w:rPr>
              <w:t>（</w:t>
            </w:r>
            <w:r>
              <w:rPr>
                <w:rFonts w:hint="eastAsia" w:ascii="宋体" w:hAnsi="宋体" w:eastAsia="宋体" w:cs="宋体"/>
                <w:color w:val="auto"/>
                <w:sz w:val="24"/>
                <w:szCs w:val="21"/>
                <w:lang w:val="en-US" w:eastAsia="zh-CN"/>
              </w:rPr>
              <w:t>6）响应人</w:t>
            </w:r>
            <w:r>
              <w:rPr>
                <w:rFonts w:hint="eastAsia" w:ascii="宋体" w:hAnsi="宋体" w:cs="宋体"/>
                <w:bCs/>
                <w:sz w:val="24"/>
                <w:lang w:val="en-US" w:eastAsia="zh-CN"/>
              </w:rPr>
              <w:t>须提供有效期内的《中华人民共和国特种设备生产许可证》</w:t>
            </w:r>
          </w:p>
          <w:p w14:paraId="3745BEA2">
            <w:pPr>
              <w:pStyle w:val="23"/>
              <w:spacing w:line="480" w:lineRule="exact"/>
              <w:rPr>
                <w:rFonts w:hint="eastAsia" w:ascii="宋体" w:hAnsi="宋体" w:cs="宋体"/>
                <w:bCs/>
                <w:sz w:val="24"/>
                <w:lang w:val="en-US" w:eastAsia="zh-CN"/>
              </w:rPr>
            </w:pPr>
            <w:r>
              <w:rPr>
                <w:rFonts w:hint="eastAsia" w:ascii="宋体" w:hAnsi="宋体" w:cs="宋体"/>
                <w:bCs/>
                <w:sz w:val="24"/>
                <w:lang w:val="en-US" w:eastAsia="zh-CN"/>
              </w:rPr>
              <w:t>（7）响应人须提供厂家出具有效的经销证书和电梯安装委托书（非厂家投标时提供）</w:t>
            </w:r>
          </w:p>
          <w:p w14:paraId="77E76982">
            <w:pPr>
              <w:pStyle w:val="23"/>
              <w:spacing w:line="480" w:lineRule="exact"/>
              <w:rPr>
                <w:rFonts w:hint="eastAsia" w:ascii="宋体" w:hAnsi="宋体" w:cs="宋体"/>
                <w:bCs/>
                <w:sz w:val="24"/>
                <w:lang w:val="en-US" w:eastAsia="zh-CN"/>
              </w:rPr>
            </w:pPr>
            <w:r>
              <w:rPr>
                <w:rFonts w:hint="eastAsia" w:ascii="宋体" w:hAnsi="宋体" w:cs="宋体"/>
                <w:bCs/>
                <w:sz w:val="24"/>
                <w:highlight w:val="none"/>
                <w:lang w:val="en-US" w:eastAsia="zh-CN"/>
              </w:rPr>
              <w:t>（8）供应商须入驻广东政府采购智慧云平台。（</w:t>
            </w:r>
            <w:r>
              <w:rPr>
                <w:rFonts w:ascii="Inter" w:hAnsi="Inter" w:eastAsia="Inter" w:cs="Inter"/>
                <w:i w:val="0"/>
                <w:iCs w:val="0"/>
                <w:caps w:val="0"/>
                <w:color w:val="0F1115"/>
                <w:spacing w:val="0"/>
                <w:sz w:val="24"/>
                <w:szCs w:val="24"/>
                <w:highlight w:val="none"/>
                <w:shd w:val="clear" w:color="auto" w:fill="FFFFFF"/>
              </w:rPr>
              <w:t>登录</w:t>
            </w:r>
            <w:r>
              <w:rPr>
                <w:rFonts w:hint="eastAsia" w:ascii="Inter" w:hAnsi="Inter" w:eastAsia="宋体" w:cs="Inter"/>
                <w:i w:val="0"/>
                <w:iCs w:val="0"/>
                <w:caps w:val="0"/>
                <w:color w:val="0F1115"/>
                <w:spacing w:val="0"/>
                <w:sz w:val="24"/>
                <w:szCs w:val="24"/>
                <w:highlight w:val="none"/>
                <w:shd w:val="clear" w:color="auto" w:fill="FFFFFF"/>
                <w:lang w:eastAsia="zh-CN"/>
              </w:rPr>
              <w:t>“</w:t>
            </w:r>
            <w:r>
              <w:rPr>
                <w:rFonts w:ascii="Inter" w:hAnsi="Inter" w:eastAsia="Inter" w:cs="Inter"/>
                <w:i w:val="0"/>
                <w:iCs w:val="0"/>
                <w:caps w:val="0"/>
                <w:color w:val="0F1115"/>
                <w:spacing w:val="0"/>
                <w:sz w:val="24"/>
                <w:szCs w:val="24"/>
                <w:highlight w:val="none"/>
                <w:shd w:val="clear" w:color="auto" w:fill="FFFFFF"/>
              </w:rPr>
              <w:t>广东政府采购智慧云平台</w:t>
            </w:r>
            <w:r>
              <w:rPr>
                <w:rFonts w:hint="eastAsia" w:ascii="Inter" w:hAnsi="Inter" w:eastAsia="宋体" w:cs="Inter"/>
                <w:i w:val="0"/>
                <w:iCs w:val="0"/>
                <w:caps w:val="0"/>
                <w:color w:val="0F1115"/>
                <w:spacing w:val="0"/>
                <w:sz w:val="24"/>
                <w:szCs w:val="24"/>
                <w:highlight w:val="none"/>
                <w:shd w:val="clear" w:color="auto" w:fill="FFFFFF"/>
                <w:lang w:eastAsia="zh-CN"/>
              </w:rPr>
              <w:t>”</w:t>
            </w:r>
            <w:r>
              <w:rPr>
                <w:rFonts w:ascii="Inter" w:hAnsi="Inter" w:eastAsia="Inter" w:cs="Inter"/>
                <w:i w:val="0"/>
                <w:iCs w:val="0"/>
                <w:caps w:val="0"/>
                <w:color w:val="0F1115"/>
                <w:spacing w:val="0"/>
                <w:sz w:val="24"/>
                <w:szCs w:val="24"/>
                <w:highlight w:val="none"/>
                <w:shd w:val="clear" w:color="auto" w:fill="FFFFFF"/>
              </w:rPr>
              <w:t>找到入驻资格的页面进行截图</w:t>
            </w:r>
            <w:r>
              <w:rPr>
                <w:rFonts w:hint="eastAsia" w:ascii="宋体" w:hAnsi="宋体" w:cs="宋体"/>
                <w:bCs/>
                <w:sz w:val="24"/>
                <w:highlight w:val="none"/>
                <w:lang w:val="en-US" w:eastAsia="zh-CN"/>
              </w:rPr>
              <w:t>）</w:t>
            </w:r>
          </w:p>
        </w:tc>
      </w:tr>
    </w:tbl>
    <w:p w14:paraId="0A60EE00">
      <w:pPr>
        <w:rPr>
          <w:rFonts w:hint="default" w:ascii="宋体" w:hAnsi="宋体" w:cs="宋体"/>
          <w:b/>
          <w:bCs w:val="0"/>
          <w:sz w:val="24"/>
          <w:lang w:val="en-US" w:eastAsia="zh-CN"/>
        </w:rPr>
      </w:pPr>
    </w:p>
    <w:p w14:paraId="1BDBD84E">
      <w:pPr>
        <w:pStyle w:val="23"/>
        <w:keepNext w:val="0"/>
        <w:keepLines w:val="0"/>
        <w:pageBreakBefore w:val="0"/>
        <w:widowControl w:val="0"/>
        <w:numPr>
          <w:ilvl w:val="0"/>
          <w:numId w:val="0"/>
        </w:numPr>
        <w:tabs>
          <w:tab w:val="left" w:pos="945"/>
          <w:tab w:val="left" w:pos="1050"/>
        </w:tabs>
        <w:kinsoku/>
        <w:wordWrap/>
        <w:overflowPunct/>
        <w:topLinePunct w:val="0"/>
        <w:autoSpaceDE/>
        <w:autoSpaceDN/>
        <w:bidi w:val="0"/>
        <w:adjustRightInd/>
        <w:snapToGrid/>
        <w:spacing w:line="480" w:lineRule="exact"/>
        <w:ind w:firstLine="482" w:firstLineChars="200"/>
        <w:textAlignment w:val="auto"/>
        <w:rPr>
          <w:rFonts w:hint="eastAsia" w:hAnsi="宋体"/>
          <w:b/>
          <w:color w:val="auto"/>
          <w:sz w:val="24"/>
          <w:szCs w:val="24"/>
          <w:lang w:val="en-US" w:eastAsia="zh-CN"/>
        </w:rPr>
      </w:pPr>
    </w:p>
    <w:p w14:paraId="6ABC8C31">
      <w:pPr>
        <w:pStyle w:val="23"/>
        <w:keepNext w:val="0"/>
        <w:keepLines w:val="0"/>
        <w:pageBreakBefore w:val="0"/>
        <w:widowControl w:val="0"/>
        <w:numPr>
          <w:ilvl w:val="0"/>
          <w:numId w:val="0"/>
        </w:numPr>
        <w:tabs>
          <w:tab w:val="left" w:pos="945"/>
          <w:tab w:val="left" w:pos="1050"/>
        </w:tabs>
        <w:kinsoku/>
        <w:wordWrap/>
        <w:overflowPunct/>
        <w:topLinePunct w:val="0"/>
        <w:autoSpaceDE/>
        <w:autoSpaceDN/>
        <w:bidi w:val="0"/>
        <w:adjustRightInd/>
        <w:snapToGrid/>
        <w:spacing w:line="480" w:lineRule="exact"/>
        <w:ind w:firstLine="482" w:firstLineChars="200"/>
        <w:textAlignment w:val="auto"/>
        <w:rPr>
          <w:rFonts w:hint="eastAsia" w:hAnsi="宋体"/>
          <w:b/>
          <w:color w:val="auto"/>
          <w:sz w:val="24"/>
          <w:szCs w:val="24"/>
          <w:lang w:val="en-US" w:eastAsia="zh-CN"/>
        </w:rPr>
      </w:pPr>
    </w:p>
    <w:p w14:paraId="092C2AB3">
      <w:pPr>
        <w:pStyle w:val="23"/>
        <w:keepNext w:val="0"/>
        <w:keepLines w:val="0"/>
        <w:pageBreakBefore w:val="0"/>
        <w:widowControl w:val="0"/>
        <w:numPr>
          <w:ilvl w:val="0"/>
          <w:numId w:val="0"/>
        </w:numPr>
        <w:tabs>
          <w:tab w:val="left" w:pos="945"/>
          <w:tab w:val="left" w:pos="1050"/>
        </w:tabs>
        <w:kinsoku/>
        <w:wordWrap/>
        <w:overflowPunct/>
        <w:topLinePunct w:val="0"/>
        <w:autoSpaceDE/>
        <w:autoSpaceDN/>
        <w:bidi w:val="0"/>
        <w:adjustRightInd/>
        <w:snapToGrid/>
        <w:spacing w:line="480" w:lineRule="exact"/>
        <w:ind w:firstLine="482" w:firstLineChars="200"/>
        <w:textAlignment w:val="auto"/>
        <w:rPr>
          <w:rFonts w:hint="eastAsia" w:hAnsi="宋体"/>
          <w:b/>
          <w:color w:val="auto"/>
          <w:sz w:val="24"/>
          <w:szCs w:val="24"/>
          <w:lang w:val="en-US" w:eastAsia="zh-CN"/>
        </w:rPr>
      </w:pPr>
    </w:p>
    <w:p w14:paraId="6C0B8D74">
      <w:pPr>
        <w:pStyle w:val="23"/>
        <w:keepNext w:val="0"/>
        <w:keepLines w:val="0"/>
        <w:pageBreakBefore w:val="0"/>
        <w:widowControl w:val="0"/>
        <w:numPr>
          <w:ilvl w:val="0"/>
          <w:numId w:val="0"/>
        </w:numPr>
        <w:tabs>
          <w:tab w:val="left" w:pos="945"/>
          <w:tab w:val="left" w:pos="1050"/>
        </w:tabs>
        <w:kinsoku/>
        <w:wordWrap/>
        <w:overflowPunct/>
        <w:topLinePunct w:val="0"/>
        <w:autoSpaceDE/>
        <w:autoSpaceDN/>
        <w:bidi w:val="0"/>
        <w:adjustRightInd/>
        <w:snapToGrid/>
        <w:spacing w:line="480" w:lineRule="exact"/>
        <w:ind w:firstLine="482" w:firstLineChars="200"/>
        <w:textAlignment w:val="auto"/>
        <w:rPr>
          <w:rFonts w:hint="eastAsia" w:hAnsi="宋体"/>
          <w:b/>
          <w:color w:val="auto"/>
          <w:sz w:val="24"/>
          <w:szCs w:val="24"/>
          <w:lang w:val="en-US" w:eastAsia="zh-CN"/>
        </w:rPr>
      </w:pPr>
    </w:p>
    <w:p w14:paraId="272B2E8D">
      <w:pPr>
        <w:pStyle w:val="23"/>
        <w:keepNext w:val="0"/>
        <w:keepLines w:val="0"/>
        <w:pageBreakBefore w:val="0"/>
        <w:widowControl w:val="0"/>
        <w:numPr>
          <w:ilvl w:val="0"/>
          <w:numId w:val="0"/>
        </w:numPr>
        <w:tabs>
          <w:tab w:val="left" w:pos="945"/>
          <w:tab w:val="left" w:pos="1050"/>
        </w:tabs>
        <w:kinsoku/>
        <w:wordWrap/>
        <w:overflowPunct/>
        <w:topLinePunct w:val="0"/>
        <w:autoSpaceDE/>
        <w:autoSpaceDN/>
        <w:bidi w:val="0"/>
        <w:adjustRightInd/>
        <w:snapToGrid/>
        <w:spacing w:line="480" w:lineRule="exact"/>
        <w:ind w:firstLine="482" w:firstLineChars="200"/>
        <w:textAlignment w:val="auto"/>
        <w:rPr>
          <w:rFonts w:hint="eastAsia" w:hAnsi="宋体"/>
          <w:b/>
          <w:color w:val="auto"/>
          <w:sz w:val="24"/>
          <w:szCs w:val="24"/>
          <w:lang w:val="en-US" w:eastAsia="zh-CN"/>
        </w:rPr>
      </w:pPr>
    </w:p>
    <w:p w14:paraId="7DCA48E7">
      <w:pPr>
        <w:pStyle w:val="23"/>
        <w:keepNext w:val="0"/>
        <w:keepLines w:val="0"/>
        <w:pageBreakBefore w:val="0"/>
        <w:widowControl w:val="0"/>
        <w:numPr>
          <w:ilvl w:val="0"/>
          <w:numId w:val="0"/>
        </w:numPr>
        <w:tabs>
          <w:tab w:val="left" w:pos="945"/>
          <w:tab w:val="left" w:pos="1050"/>
        </w:tabs>
        <w:kinsoku/>
        <w:wordWrap/>
        <w:overflowPunct/>
        <w:topLinePunct w:val="0"/>
        <w:autoSpaceDE/>
        <w:autoSpaceDN/>
        <w:bidi w:val="0"/>
        <w:adjustRightInd/>
        <w:snapToGrid/>
        <w:spacing w:line="480" w:lineRule="exact"/>
        <w:ind w:firstLine="482" w:firstLineChars="200"/>
        <w:textAlignment w:val="auto"/>
        <w:rPr>
          <w:rFonts w:hint="eastAsia" w:hAnsi="宋体"/>
          <w:b/>
          <w:color w:val="auto"/>
          <w:sz w:val="24"/>
          <w:szCs w:val="24"/>
          <w:lang w:val="en-US" w:eastAsia="zh-CN"/>
        </w:rPr>
      </w:pPr>
    </w:p>
    <w:p w14:paraId="5180CF98">
      <w:pPr>
        <w:pStyle w:val="23"/>
        <w:keepNext w:val="0"/>
        <w:keepLines w:val="0"/>
        <w:pageBreakBefore w:val="0"/>
        <w:widowControl w:val="0"/>
        <w:numPr>
          <w:ilvl w:val="0"/>
          <w:numId w:val="0"/>
        </w:numPr>
        <w:tabs>
          <w:tab w:val="left" w:pos="945"/>
          <w:tab w:val="left" w:pos="1050"/>
        </w:tabs>
        <w:kinsoku/>
        <w:wordWrap/>
        <w:overflowPunct/>
        <w:topLinePunct w:val="0"/>
        <w:autoSpaceDE/>
        <w:autoSpaceDN/>
        <w:bidi w:val="0"/>
        <w:adjustRightInd/>
        <w:snapToGrid/>
        <w:spacing w:line="480" w:lineRule="exact"/>
        <w:ind w:firstLine="482" w:firstLineChars="200"/>
        <w:textAlignment w:val="auto"/>
        <w:rPr>
          <w:rFonts w:hint="eastAsia" w:hAnsi="宋体"/>
          <w:b/>
          <w:color w:val="auto"/>
          <w:sz w:val="24"/>
          <w:szCs w:val="24"/>
          <w:lang w:val="en-US" w:eastAsia="zh-CN"/>
        </w:rPr>
      </w:pPr>
    </w:p>
    <w:p w14:paraId="3C9786FD">
      <w:pPr>
        <w:pStyle w:val="23"/>
        <w:keepNext w:val="0"/>
        <w:keepLines w:val="0"/>
        <w:pageBreakBefore w:val="0"/>
        <w:widowControl w:val="0"/>
        <w:numPr>
          <w:ilvl w:val="0"/>
          <w:numId w:val="0"/>
        </w:numPr>
        <w:tabs>
          <w:tab w:val="left" w:pos="945"/>
          <w:tab w:val="left" w:pos="1050"/>
        </w:tabs>
        <w:kinsoku/>
        <w:wordWrap/>
        <w:overflowPunct/>
        <w:topLinePunct w:val="0"/>
        <w:autoSpaceDE/>
        <w:autoSpaceDN/>
        <w:bidi w:val="0"/>
        <w:adjustRightInd/>
        <w:snapToGrid/>
        <w:spacing w:line="480" w:lineRule="exact"/>
        <w:ind w:firstLine="482" w:firstLineChars="200"/>
        <w:textAlignment w:val="auto"/>
        <w:rPr>
          <w:rFonts w:hAnsi="宋体"/>
          <w:color w:val="auto"/>
          <w:sz w:val="24"/>
          <w:szCs w:val="24"/>
        </w:rPr>
      </w:pPr>
      <w:r>
        <w:rPr>
          <w:rFonts w:hint="eastAsia" w:hAnsi="宋体"/>
          <w:b/>
          <w:color w:val="auto"/>
          <w:sz w:val="24"/>
          <w:szCs w:val="24"/>
          <w:lang w:val="en-US" w:eastAsia="zh-CN"/>
        </w:rPr>
        <w:t>二、</w:t>
      </w:r>
      <w:r>
        <w:rPr>
          <w:rFonts w:hint="eastAsia" w:hAnsi="宋体"/>
          <w:b/>
          <w:color w:val="auto"/>
          <w:sz w:val="24"/>
          <w:szCs w:val="24"/>
        </w:rPr>
        <w:t>符合性审查表</w:t>
      </w:r>
    </w:p>
    <w:tbl>
      <w:tblPr>
        <w:tblStyle w:val="42"/>
        <w:tblpPr w:leftFromText="180" w:rightFromText="180" w:vertAnchor="text" w:horzAnchor="page" w:tblpX="1486" w:tblpY="130"/>
        <w:tblOverlap w:val="never"/>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9"/>
        <w:gridCol w:w="6192"/>
      </w:tblGrid>
      <w:tr w14:paraId="76F35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879" w:type="dxa"/>
            <w:noWrap w:val="0"/>
            <w:vAlign w:val="center"/>
          </w:tcPr>
          <w:p w14:paraId="437B97D0">
            <w:pPr>
              <w:pStyle w:val="23"/>
              <w:spacing w:line="480" w:lineRule="exact"/>
              <w:jc w:val="center"/>
              <w:rPr>
                <w:rFonts w:hAnsi="宋体"/>
                <w:b/>
                <w:bCs/>
                <w:color w:val="auto"/>
                <w:sz w:val="24"/>
                <w:szCs w:val="24"/>
              </w:rPr>
            </w:pPr>
            <w:r>
              <w:rPr>
                <w:rFonts w:hint="eastAsia" w:hAnsi="宋体"/>
                <w:b/>
                <w:bCs/>
                <w:color w:val="auto"/>
                <w:sz w:val="24"/>
                <w:szCs w:val="24"/>
              </w:rPr>
              <w:t>审查项目</w:t>
            </w:r>
          </w:p>
        </w:tc>
        <w:tc>
          <w:tcPr>
            <w:tcW w:w="6192" w:type="dxa"/>
            <w:noWrap w:val="0"/>
            <w:vAlign w:val="center"/>
          </w:tcPr>
          <w:p w14:paraId="6A6AF094">
            <w:pPr>
              <w:pStyle w:val="23"/>
              <w:spacing w:line="480" w:lineRule="exact"/>
              <w:jc w:val="center"/>
              <w:rPr>
                <w:rFonts w:hAnsi="宋体"/>
                <w:b/>
                <w:bCs/>
                <w:color w:val="auto"/>
                <w:sz w:val="24"/>
                <w:szCs w:val="24"/>
              </w:rPr>
            </w:pPr>
            <w:r>
              <w:rPr>
                <w:rFonts w:hint="eastAsia" w:hAnsi="宋体"/>
                <w:b/>
                <w:bCs/>
                <w:color w:val="auto"/>
                <w:sz w:val="24"/>
                <w:szCs w:val="24"/>
              </w:rPr>
              <w:t>审查内容</w:t>
            </w:r>
          </w:p>
        </w:tc>
      </w:tr>
      <w:tr w14:paraId="121A2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4" w:hRule="atLeast"/>
          <w:jc w:val="center"/>
        </w:trPr>
        <w:tc>
          <w:tcPr>
            <w:tcW w:w="2879" w:type="dxa"/>
            <w:noWrap w:val="0"/>
            <w:vAlign w:val="center"/>
          </w:tcPr>
          <w:p w14:paraId="746E161D">
            <w:pPr>
              <w:pStyle w:val="23"/>
              <w:spacing w:line="480" w:lineRule="exact"/>
              <w:jc w:val="center"/>
              <w:rPr>
                <w:rFonts w:hAnsi="宋体"/>
                <w:color w:val="auto"/>
                <w:sz w:val="24"/>
                <w:szCs w:val="24"/>
              </w:rPr>
            </w:pPr>
            <w:r>
              <w:rPr>
                <w:rFonts w:hint="eastAsia" w:hAnsi="宋体"/>
                <w:color w:val="auto"/>
                <w:sz w:val="24"/>
                <w:szCs w:val="24"/>
              </w:rPr>
              <w:t>符合性审查</w:t>
            </w:r>
          </w:p>
        </w:tc>
        <w:tc>
          <w:tcPr>
            <w:tcW w:w="6192" w:type="dxa"/>
            <w:noWrap w:val="0"/>
            <w:vAlign w:val="center"/>
          </w:tcPr>
          <w:p w14:paraId="314D5CD0">
            <w:pPr>
              <w:pStyle w:val="23"/>
              <w:spacing w:line="480" w:lineRule="exact"/>
              <w:rPr>
                <w:rFonts w:hAnsi="宋体"/>
                <w:color w:val="auto"/>
                <w:sz w:val="24"/>
                <w:szCs w:val="28"/>
              </w:rPr>
            </w:pPr>
            <w:r>
              <w:rPr>
                <w:rFonts w:hint="eastAsia" w:hAnsi="宋体"/>
                <w:color w:val="auto"/>
                <w:sz w:val="24"/>
                <w:szCs w:val="28"/>
              </w:rPr>
              <w:t>1</w:t>
            </w:r>
            <w:r>
              <w:rPr>
                <w:rFonts w:hint="eastAsia" w:hAnsi="宋体"/>
                <w:color w:val="auto"/>
                <w:sz w:val="24"/>
                <w:szCs w:val="28"/>
                <w:lang w:eastAsia="zh-CN"/>
              </w:rPr>
              <w:t>.</w:t>
            </w:r>
            <w:r>
              <w:rPr>
                <w:rFonts w:hint="eastAsia" w:hAnsi="宋体"/>
                <w:color w:val="auto"/>
                <w:sz w:val="24"/>
              </w:rPr>
              <w:t>报价未超出本项目的最高限价；</w:t>
            </w:r>
          </w:p>
          <w:p w14:paraId="3F4EE401">
            <w:pPr>
              <w:pStyle w:val="23"/>
              <w:spacing w:line="480" w:lineRule="exact"/>
              <w:rPr>
                <w:rFonts w:hAnsi="宋体"/>
                <w:color w:val="auto"/>
                <w:sz w:val="24"/>
              </w:rPr>
            </w:pPr>
            <w:r>
              <w:rPr>
                <w:rFonts w:hint="eastAsia"/>
                <w:color w:val="auto"/>
                <w:sz w:val="24"/>
              </w:rPr>
              <w:t>2</w:t>
            </w:r>
            <w:r>
              <w:rPr>
                <w:rFonts w:hint="eastAsia"/>
                <w:color w:val="auto"/>
                <w:sz w:val="24"/>
                <w:lang w:eastAsia="zh-CN"/>
              </w:rPr>
              <w:t>.</w:t>
            </w:r>
            <w:r>
              <w:rPr>
                <w:rFonts w:hint="eastAsia" w:hAnsi="宋体"/>
                <w:color w:val="auto"/>
                <w:sz w:val="24"/>
              </w:rPr>
              <w:t>响应文件已按照</w:t>
            </w:r>
            <w:r>
              <w:rPr>
                <w:rFonts w:hint="eastAsia" w:hAnsi="宋体"/>
                <w:color w:val="auto"/>
                <w:sz w:val="24"/>
                <w:lang w:val="en-US" w:eastAsia="zh-CN"/>
              </w:rPr>
              <w:t>遴选</w:t>
            </w:r>
            <w:r>
              <w:rPr>
                <w:rFonts w:hint="eastAsia" w:hAnsi="宋体"/>
                <w:color w:val="auto"/>
                <w:sz w:val="24"/>
              </w:rPr>
              <w:t>文件规定要求签署、盖章；</w:t>
            </w:r>
          </w:p>
          <w:p w14:paraId="33522A4E">
            <w:pPr>
              <w:pStyle w:val="23"/>
              <w:spacing w:line="480" w:lineRule="exact"/>
              <w:rPr>
                <w:rFonts w:hAnsi="宋体"/>
                <w:color w:val="auto"/>
                <w:sz w:val="24"/>
              </w:rPr>
            </w:pPr>
            <w:r>
              <w:rPr>
                <w:rFonts w:hint="eastAsia" w:hAnsi="宋体"/>
                <w:color w:val="auto"/>
                <w:sz w:val="24"/>
              </w:rPr>
              <w:t>3</w:t>
            </w:r>
            <w:r>
              <w:rPr>
                <w:rFonts w:hint="eastAsia" w:hAnsi="宋体"/>
                <w:color w:val="auto"/>
                <w:sz w:val="24"/>
                <w:lang w:eastAsia="zh-CN"/>
              </w:rPr>
              <w:t>.</w:t>
            </w:r>
            <w:r>
              <w:rPr>
                <w:rFonts w:hint="eastAsia" w:hAnsi="宋体"/>
                <w:color w:val="auto"/>
                <w:sz w:val="24"/>
              </w:rPr>
              <w:t>响应文件中已提交有效的法定代表人/负责人证明书及授权委托书（如果法定代表人/负责人直接参加本项目响应及签署响应文件的，可不提供授权委托书）；</w:t>
            </w:r>
          </w:p>
          <w:p w14:paraId="4375E514">
            <w:pPr>
              <w:pStyle w:val="23"/>
              <w:spacing w:line="480" w:lineRule="exact"/>
              <w:rPr>
                <w:rFonts w:hAnsi="宋体"/>
                <w:color w:val="auto"/>
                <w:sz w:val="24"/>
              </w:rPr>
            </w:pPr>
            <w:r>
              <w:rPr>
                <w:rFonts w:hint="eastAsia" w:hAnsi="宋体"/>
                <w:color w:val="auto"/>
                <w:sz w:val="24"/>
              </w:rPr>
              <w:t>4</w:t>
            </w:r>
            <w:r>
              <w:rPr>
                <w:rFonts w:hint="eastAsia" w:hAnsi="宋体"/>
                <w:color w:val="auto"/>
                <w:sz w:val="24"/>
                <w:lang w:eastAsia="zh-CN"/>
              </w:rPr>
              <w:t>.</w:t>
            </w:r>
            <w:r>
              <w:rPr>
                <w:rFonts w:hint="eastAsia" w:hAnsi="宋体"/>
                <w:color w:val="auto"/>
                <w:sz w:val="24"/>
              </w:rPr>
              <w:t>响应有效期符合</w:t>
            </w:r>
            <w:r>
              <w:rPr>
                <w:rFonts w:hint="eastAsia" w:hAnsi="宋体"/>
                <w:color w:val="auto"/>
                <w:sz w:val="24"/>
                <w:lang w:val="en-US" w:eastAsia="zh-CN"/>
              </w:rPr>
              <w:t>遴选</w:t>
            </w:r>
            <w:r>
              <w:rPr>
                <w:rFonts w:hint="eastAsia" w:hAnsi="宋体"/>
                <w:color w:val="auto"/>
                <w:sz w:val="24"/>
              </w:rPr>
              <w:t>文件要求；</w:t>
            </w:r>
          </w:p>
          <w:p w14:paraId="1981BCF9">
            <w:pPr>
              <w:pStyle w:val="23"/>
              <w:spacing w:line="480" w:lineRule="exact"/>
              <w:rPr>
                <w:rFonts w:hint="default" w:eastAsia="宋体"/>
                <w:lang w:val="en-US" w:eastAsia="zh-CN"/>
              </w:rPr>
            </w:pPr>
            <w:r>
              <w:rPr>
                <w:rFonts w:hint="eastAsia" w:hAnsi="宋体"/>
                <w:color w:val="auto"/>
                <w:sz w:val="24"/>
              </w:rPr>
              <w:t>5</w:t>
            </w:r>
            <w:r>
              <w:rPr>
                <w:rFonts w:hint="eastAsia" w:hAnsi="宋体"/>
                <w:color w:val="auto"/>
                <w:sz w:val="24"/>
                <w:lang w:eastAsia="zh-CN"/>
              </w:rPr>
              <w:t>.</w:t>
            </w:r>
            <w:r>
              <w:rPr>
                <w:rFonts w:hint="eastAsia" w:cs="宋体"/>
                <w:color w:val="auto"/>
                <w:kern w:val="0"/>
                <w:sz w:val="24"/>
              </w:rPr>
              <w:t>响应文件中不存在</w:t>
            </w:r>
            <w:r>
              <w:rPr>
                <w:rFonts w:hint="eastAsia" w:cs="宋体"/>
                <w:color w:val="auto"/>
                <w:kern w:val="0"/>
                <w:sz w:val="24"/>
                <w:lang w:val="en-US" w:eastAsia="zh-CN"/>
              </w:rPr>
              <w:t>遴选</w:t>
            </w:r>
            <w:r>
              <w:rPr>
                <w:rFonts w:hint="eastAsia" w:cs="宋体"/>
                <w:color w:val="auto"/>
                <w:kern w:val="0"/>
                <w:sz w:val="24"/>
              </w:rPr>
              <w:t>文件或法规明确规定的其他无效响应情形</w:t>
            </w:r>
            <w:r>
              <w:rPr>
                <w:rFonts w:hint="eastAsia"/>
                <w:color w:val="auto"/>
                <w:sz w:val="24"/>
              </w:rPr>
              <w:t>。</w:t>
            </w:r>
          </w:p>
        </w:tc>
      </w:tr>
    </w:tbl>
    <w:p w14:paraId="43E8E180">
      <w:pPr>
        <w:rPr>
          <w:rFonts w:hint="eastAsia" w:ascii="宋体" w:hAnsi="宋体" w:cs="宋体"/>
          <w:bCs/>
          <w:sz w:val="24"/>
        </w:rPr>
      </w:pPr>
    </w:p>
    <w:p w14:paraId="03F91870">
      <w:pPr>
        <w:rPr>
          <w:rFonts w:hint="eastAsia" w:ascii="宋体" w:hAnsi="宋体" w:cs="宋体"/>
          <w:bCs/>
          <w:sz w:val="24"/>
        </w:rPr>
      </w:pPr>
    </w:p>
    <w:p w14:paraId="58955E99">
      <w:pPr>
        <w:rPr>
          <w:rFonts w:hint="eastAsia" w:ascii="宋体" w:hAnsi="宋体" w:cs="宋体"/>
          <w:bCs/>
          <w:sz w:val="24"/>
        </w:rPr>
      </w:pPr>
    </w:p>
    <w:p w14:paraId="295FF2A7">
      <w:pPr>
        <w:rPr>
          <w:rFonts w:hint="eastAsia" w:ascii="宋体" w:hAnsi="宋体" w:cs="宋体"/>
          <w:bCs/>
          <w:sz w:val="24"/>
        </w:rPr>
      </w:pPr>
    </w:p>
    <w:p w14:paraId="1AE2C599">
      <w:pPr>
        <w:rPr>
          <w:rFonts w:hint="eastAsia" w:ascii="宋体" w:hAnsi="宋体" w:cs="宋体"/>
          <w:bCs/>
          <w:sz w:val="24"/>
        </w:rPr>
      </w:pPr>
    </w:p>
    <w:p w14:paraId="76989991">
      <w:pPr>
        <w:rPr>
          <w:rFonts w:hint="eastAsia" w:ascii="宋体" w:hAnsi="宋体" w:cs="宋体"/>
          <w:bCs/>
          <w:sz w:val="24"/>
        </w:rPr>
      </w:pPr>
    </w:p>
    <w:p w14:paraId="2F98D2FC">
      <w:pPr>
        <w:rPr>
          <w:rFonts w:hint="eastAsia" w:ascii="宋体" w:hAnsi="宋体" w:cs="宋体"/>
          <w:bCs/>
          <w:sz w:val="24"/>
        </w:rPr>
      </w:pPr>
    </w:p>
    <w:p w14:paraId="7C1B4323">
      <w:pPr>
        <w:rPr>
          <w:rFonts w:hint="eastAsia" w:ascii="宋体" w:hAnsi="宋体" w:cs="宋体"/>
          <w:bCs/>
          <w:sz w:val="24"/>
        </w:rPr>
      </w:pPr>
    </w:p>
    <w:p w14:paraId="18314C24">
      <w:pPr>
        <w:rPr>
          <w:rFonts w:hint="eastAsia" w:ascii="宋体" w:hAnsi="宋体" w:cs="宋体"/>
          <w:bCs/>
          <w:sz w:val="24"/>
        </w:rPr>
      </w:pPr>
    </w:p>
    <w:p w14:paraId="591B43A0">
      <w:pPr>
        <w:pStyle w:val="23"/>
        <w:spacing w:line="360" w:lineRule="auto"/>
        <w:ind w:firstLine="482" w:firstLineChars="200"/>
        <w:outlineLvl w:val="1"/>
        <w:rPr>
          <w:rFonts w:hint="eastAsia" w:ascii="Times New Roman" w:hAnsi="Times New Roman" w:eastAsia="宋体"/>
          <w:b/>
          <w:color w:val="auto"/>
          <w:sz w:val="24"/>
          <w:szCs w:val="21"/>
          <w:lang w:val="en-US" w:eastAsia="zh-CN"/>
        </w:rPr>
      </w:pPr>
      <w:r>
        <w:rPr>
          <w:rFonts w:hint="eastAsia" w:hAnsi="宋体"/>
          <w:b/>
          <w:color w:val="auto"/>
          <w:sz w:val="24"/>
          <w:szCs w:val="24"/>
          <w:lang w:val="en-US" w:eastAsia="zh-CN"/>
        </w:rPr>
        <w:t>三、</w:t>
      </w:r>
      <w:r>
        <w:rPr>
          <w:rFonts w:hint="eastAsia" w:hAnsi="宋体"/>
          <w:b/>
          <w:color w:val="auto"/>
          <w:sz w:val="24"/>
          <w:szCs w:val="24"/>
        </w:rPr>
        <w:t>本项目的评审因素如下</w:t>
      </w:r>
      <w:r>
        <w:rPr>
          <w:rFonts w:hint="eastAsia" w:hAnsi="宋体"/>
          <w:b/>
          <w:color w:val="auto"/>
          <w:sz w:val="24"/>
          <w:szCs w:val="24"/>
          <w:lang w:eastAsia="zh-CN"/>
        </w:rPr>
        <w:t>：</w:t>
      </w:r>
    </w:p>
    <w:tbl>
      <w:tblPr>
        <w:tblStyle w:val="42"/>
        <w:tblW w:w="5000"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3"/>
        <w:gridCol w:w="2017"/>
        <w:gridCol w:w="6547"/>
      </w:tblGrid>
      <w:tr w14:paraId="0E3728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93" w:type="dxa"/>
            <w:vAlign w:val="top"/>
          </w:tcPr>
          <w:p w14:paraId="4F686001">
            <w:pPr>
              <w:pStyle w:val="226"/>
              <w:keepNext w:val="0"/>
              <w:keepLines w:val="0"/>
              <w:pageBreakBefore w:val="0"/>
              <w:widowControl/>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评审因素</w:t>
            </w:r>
          </w:p>
        </w:tc>
        <w:tc>
          <w:tcPr>
            <w:tcW w:w="8564" w:type="dxa"/>
            <w:gridSpan w:val="2"/>
            <w:vAlign w:val="center"/>
          </w:tcPr>
          <w:p w14:paraId="06D91648">
            <w:pPr>
              <w:pStyle w:val="226"/>
              <w:keepNext w:val="0"/>
              <w:keepLines w:val="0"/>
              <w:pageBreakBefore w:val="0"/>
              <w:widowControl/>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评审标准</w:t>
            </w:r>
          </w:p>
        </w:tc>
      </w:tr>
      <w:tr w14:paraId="4A0E31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93" w:type="dxa"/>
            <w:vAlign w:val="top"/>
          </w:tcPr>
          <w:p w14:paraId="3024394E">
            <w:pPr>
              <w:pStyle w:val="226"/>
              <w:keepNext w:val="0"/>
              <w:keepLines w:val="0"/>
              <w:pageBreakBefore w:val="0"/>
              <w:widowControl/>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分值构成</w:t>
            </w:r>
          </w:p>
        </w:tc>
        <w:tc>
          <w:tcPr>
            <w:tcW w:w="8564" w:type="dxa"/>
            <w:gridSpan w:val="2"/>
            <w:vAlign w:val="center"/>
          </w:tcPr>
          <w:p w14:paraId="611B8AF2">
            <w:pPr>
              <w:pStyle w:val="226"/>
              <w:keepNext w:val="0"/>
              <w:keepLines w:val="0"/>
              <w:pageBreakBefore w:val="0"/>
              <w:widowControl/>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商务部分</w:t>
            </w:r>
            <w:r>
              <w:rPr>
                <w:rFonts w:hint="eastAsia" w:ascii="宋体" w:hAnsi="宋体" w:eastAsia="宋体" w:cs="宋体"/>
                <w:kern w:val="2"/>
                <w:sz w:val="24"/>
                <w:szCs w:val="24"/>
                <w:lang w:val="en-US" w:eastAsia="zh-CN"/>
              </w:rPr>
              <w:t>20</w:t>
            </w:r>
            <w:r>
              <w:rPr>
                <w:rFonts w:hint="eastAsia" w:ascii="宋体" w:hAnsi="宋体" w:eastAsia="宋体" w:cs="宋体"/>
                <w:kern w:val="2"/>
                <w:sz w:val="24"/>
                <w:szCs w:val="24"/>
              </w:rPr>
              <w:t>分</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技术部分5</w:t>
            </w:r>
            <w:r>
              <w:rPr>
                <w:rFonts w:hint="eastAsia" w:ascii="宋体" w:hAnsi="宋体" w:eastAsia="宋体" w:cs="宋体"/>
                <w:kern w:val="2"/>
                <w:sz w:val="24"/>
                <w:szCs w:val="24"/>
                <w:lang w:val="en-US" w:eastAsia="zh-CN"/>
              </w:rPr>
              <w:t>0</w:t>
            </w:r>
            <w:r>
              <w:rPr>
                <w:rFonts w:hint="eastAsia" w:ascii="宋体" w:hAnsi="宋体" w:eastAsia="宋体" w:cs="宋体"/>
                <w:kern w:val="2"/>
                <w:sz w:val="24"/>
                <w:szCs w:val="24"/>
              </w:rPr>
              <w:t>分</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报价得分30分</w:t>
            </w:r>
          </w:p>
        </w:tc>
      </w:tr>
      <w:tr w14:paraId="7F3D47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93" w:type="dxa"/>
            <w:vMerge w:val="restart"/>
            <w:vAlign w:val="center"/>
          </w:tcPr>
          <w:p w14:paraId="1175CDFA">
            <w:pPr>
              <w:pStyle w:val="226"/>
              <w:keepNext w:val="0"/>
              <w:keepLines w:val="0"/>
              <w:pageBreakBefore w:val="0"/>
              <w:widowControl/>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技术部分</w:t>
            </w:r>
          </w:p>
        </w:tc>
        <w:tc>
          <w:tcPr>
            <w:tcW w:w="2017" w:type="dxa"/>
            <w:vAlign w:val="center"/>
          </w:tcPr>
          <w:p w14:paraId="2FB409F3">
            <w:pPr>
              <w:pStyle w:val="226"/>
              <w:keepNext w:val="0"/>
              <w:keepLines w:val="0"/>
              <w:pageBreakBefore w:val="0"/>
              <w:widowControl/>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产品的技术条款响应情况 (</w:t>
            </w:r>
            <w:r>
              <w:rPr>
                <w:rFonts w:hint="eastAsia" w:ascii="宋体" w:hAnsi="宋体" w:eastAsia="宋体" w:cs="宋体"/>
                <w:kern w:val="2"/>
                <w:sz w:val="24"/>
                <w:szCs w:val="24"/>
                <w:lang w:val="en-US" w:eastAsia="zh-CN"/>
              </w:rPr>
              <w:t>27</w:t>
            </w:r>
            <w:r>
              <w:rPr>
                <w:rFonts w:hint="eastAsia" w:ascii="宋体" w:hAnsi="宋体" w:eastAsia="宋体" w:cs="宋体"/>
                <w:kern w:val="2"/>
                <w:sz w:val="24"/>
                <w:szCs w:val="24"/>
              </w:rPr>
              <w:t>分)</w:t>
            </w:r>
          </w:p>
        </w:tc>
        <w:tc>
          <w:tcPr>
            <w:tcW w:w="6547" w:type="dxa"/>
            <w:vAlign w:val="top"/>
          </w:tcPr>
          <w:p w14:paraId="37E302CD">
            <w:pPr>
              <w:pStyle w:val="226"/>
              <w:keepNext w:val="0"/>
              <w:keepLines w:val="0"/>
              <w:pageBreakBefore w:val="0"/>
              <w:widowControl/>
              <w:kinsoku/>
              <w:wordWrap/>
              <w:overflowPunct/>
              <w:topLinePunct w:val="0"/>
              <w:autoSpaceDE/>
              <w:autoSpaceDN/>
              <w:bidi w:val="0"/>
              <w:adjustRightInd/>
              <w:snapToGrid/>
              <w:spacing w:line="520" w:lineRule="exact"/>
              <w:ind w:left="0" w:right="0" w:firstLine="0" w:firstLineChars="0"/>
              <w:textAlignment w:val="auto"/>
              <w:rPr>
                <w:rFonts w:hint="eastAsia" w:ascii="宋体" w:hAnsi="宋体" w:eastAsia="宋体" w:cs="宋体"/>
                <w:kern w:val="2"/>
                <w:sz w:val="24"/>
                <w:szCs w:val="24"/>
              </w:rPr>
            </w:pPr>
            <w:r>
              <w:rPr>
                <w:rFonts w:hint="eastAsia" w:ascii="宋体" w:hAnsi="宋体" w:eastAsia="宋体" w:cs="宋体"/>
                <w:kern w:val="2"/>
                <w:sz w:val="24"/>
                <w:szCs w:val="24"/>
              </w:rPr>
              <w:t>根据投标人所投报产品的技术条款对招标文件采购需求“技术标准与要求”的响应情况进行评审。 1、所投报产品技术条款完全满足招标文件采购需求“技术标准与要求”中带“▲”的参数要求（</w:t>
            </w: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rPr>
              <w:t>项），每项得3分；不满足或未响应招标文件要求的不得分。最高得1</w:t>
            </w: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rPr>
              <w:t>分。</w:t>
            </w:r>
          </w:p>
          <w:p w14:paraId="161BDE52">
            <w:pPr>
              <w:pStyle w:val="226"/>
              <w:keepNext w:val="0"/>
              <w:keepLines w:val="0"/>
              <w:pageBreakBefore w:val="0"/>
              <w:widowControl/>
              <w:kinsoku/>
              <w:wordWrap/>
              <w:overflowPunct/>
              <w:topLinePunct w:val="0"/>
              <w:autoSpaceDE/>
              <w:autoSpaceDN/>
              <w:bidi w:val="0"/>
              <w:adjustRightInd/>
              <w:snapToGrid/>
              <w:spacing w:line="520" w:lineRule="exact"/>
              <w:ind w:left="0" w:right="0" w:firstLine="0" w:firstLineChars="0"/>
              <w:textAlignment w:val="auto"/>
              <w:rPr>
                <w:rFonts w:hint="eastAsia" w:ascii="宋体" w:hAnsi="宋体" w:eastAsia="宋体" w:cs="宋体"/>
                <w:kern w:val="2"/>
                <w:sz w:val="24"/>
                <w:szCs w:val="24"/>
              </w:rPr>
            </w:pPr>
            <w:r>
              <w:rPr>
                <w:rFonts w:hint="eastAsia" w:ascii="宋体" w:hAnsi="宋体" w:eastAsia="宋体" w:cs="宋体"/>
                <w:kern w:val="2"/>
                <w:sz w:val="24"/>
                <w:szCs w:val="24"/>
              </w:rPr>
              <w:t xml:space="preserve"> 2、所投报产品技术条款完全满足招标文件采购需求“技术标准与要求”中非带“▲”的参数要求（1</w:t>
            </w: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rPr>
              <w:t>项），每项得得1分，最高得1</w:t>
            </w: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rPr>
              <w:t>分。若有任意一种不满足或未响应招标文件要求的不得分。 3、本项最高得分为</w:t>
            </w:r>
            <w:r>
              <w:rPr>
                <w:rFonts w:hint="eastAsia" w:ascii="宋体" w:hAnsi="宋体" w:eastAsia="宋体" w:cs="宋体"/>
                <w:kern w:val="2"/>
                <w:sz w:val="24"/>
                <w:szCs w:val="24"/>
                <w:lang w:val="en-US" w:eastAsia="zh-CN"/>
              </w:rPr>
              <w:t>27</w:t>
            </w:r>
            <w:r>
              <w:rPr>
                <w:rFonts w:hint="eastAsia" w:ascii="宋体" w:hAnsi="宋体" w:eastAsia="宋体" w:cs="宋体"/>
                <w:kern w:val="2"/>
                <w:sz w:val="24"/>
                <w:szCs w:val="24"/>
              </w:rPr>
              <w:t>分。</w:t>
            </w:r>
          </w:p>
        </w:tc>
      </w:tr>
      <w:tr w14:paraId="48E63C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93" w:type="dxa"/>
            <w:vMerge w:val="continue"/>
            <w:vAlign w:val="top"/>
          </w:tcPr>
          <w:p w14:paraId="203DB435">
            <w:pPr>
              <w:keepNext w:val="0"/>
              <w:keepLines w:val="0"/>
              <w:pageBreakBefore w:val="0"/>
              <w:widowControl/>
              <w:kinsoku/>
              <w:wordWrap/>
              <w:overflowPunct/>
              <w:topLinePunct w:val="0"/>
              <w:autoSpaceDE/>
              <w:autoSpaceDN/>
              <w:bidi w:val="0"/>
              <w:adjustRightInd/>
              <w:snapToGrid/>
              <w:spacing w:line="520" w:lineRule="exact"/>
              <w:ind w:left="0" w:right="0" w:firstLine="0" w:firstLineChars="0"/>
              <w:textAlignment w:val="auto"/>
              <w:rPr>
                <w:rFonts w:hint="eastAsia" w:ascii="宋体" w:hAnsi="宋体" w:eastAsia="宋体" w:cs="宋体"/>
                <w:sz w:val="24"/>
                <w:szCs w:val="24"/>
              </w:rPr>
            </w:pPr>
          </w:p>
        </w:tc>
        <w:tc>
          <w:tcPr>
            <w:tcW w:w="2017" w:type="dxa"/>
            <w:vAlign w:val="center"/>
          </w:tcPr>
          <w:p w14:paraId="32283F7B">
            <w:pPr>
              <w:pStyle w:val="226"/>
              <w:keepNext w:val="0"/>
              <w:keepLines w:val="0"/>
              <w:pageBreakBefore w:val="0"/>
              <w:widowControl/>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货物安全质量保障方案 (</w:t>
            </w:r>
            <w:r>
              <w:rPr>
                <w:rFonts w:hint="eastAsia" w:ascii="宋体" w:hAnsi="宋体" w:eastAsia="宋体" w:cs="宋体"/>
                <w:kern w:val="2"/>
                <w:sz w:val="24"/>
                <w:szCs w:val="24"/>
                <w:lang w:val="en-US" w:eastAsia="zh-CN"/>
              </w:rPr>
              <w:t>8</w:t>
            </w:r>
            <w:r>
              <w:rPr>
                <w:rFonts w:hint="eastAsia" w:ascii="宋体" w:hAnsi="宋体" w:eastAsia="宋体" w:cs="宋体"/>
                <w:kern w:val="2"/>
                <w:sz w:val="24"/>
                <w:szCs w:val="24"/>
              </w:rPr>
              <w:t>分)，（等次分值选择：0;2;5;</w:t>
            </w:r>
            <w:r>
              <w:rPr>
                <w:rFonts w:hint="eastAsia" w:ascii="宋体" w:hAnsi="宋体" w:eastAsia="宋体" w:cs="宋体"/>
                <w:kern w:val="2"/>
                <w:sz w:val="24"/>
                <w:szCs w:val="24"/>
                <w:lang w:val="en-US" w:eastAsia="zh-CN"/>
              </w:rPr>
              <w:t>8</w:t>
            </w:r>
            <w:r>
              <w:rPr>
                <w:rFonts w:hint="eastAsia" w:ascii="宋体" w:hAnsi="宋体" w:eastAsia="宋体" w:cs="宋体"/>
                <w:kern w:val="2"/>
                <w:sz w:val="24"/>
                <w:szCs w:val="24"/>
              </w:rPr>
              <w:t>;）</w:t>
            </w:r>
          </w:p>
        </w:tc>
        <w:tc>
          <w:tcPr>
            <w:tcW w:w="6547" w:type="dxa"/>
            <w:vAlign w:val="top"/>
          </w:tcPr>
          <w:p w14:paraId="00344E63">
            <w:pPr>
              <w:pStyle w:val="226"/>
              <w:keepNext w:val="0"/>
              <w:keepLines w:val="0"/>
              <w:pageBreakBefore w:val="0"/>
              <w:widowControl/>
              <w:kinsoku/>
              <w:wordWrap/>
              <w:overflowPunct/>
              <w:topLinePunct w:val="0"/>
              <w:autoSpaceDE/>
              <w:autoSpaceDN/>
              <w:bidi w:val="0"/>
              <w:adjustRightInd/>
              <w:snapToGrid/>
              <w:spacing w:line="520" w:lineRule="exact"/>
              <w:ind w:left="0" w:right="0" w:firstLine="0" w:firstLineChars="0"/>
              <w:textAlignment w:val="auto"/>
              <w:rPr>
                <w:rFonts w:hint="eastAsia" w:ascii="宋体" w:hAnsi="宋体" w:eastAsia="宋体" w:cs="宋体"/>
                <w:kern w:val="2"/>
                <w:sz w:val="24"/>
                <w:szCs w:val="24"/>
              </w:rPr>
            </w:pPr>
            <w:r>
              <w:rPr>
                <w:rFonts w:hint="eastAsia" w:ascii="宋体" w:hAnsi="宋体" w:eastAsia="宋体" w:cs="宋体"/>
                <w:kern w:val="2"/>
                <w:sz w:val="24"/>
                <w:szCs w:val="24"/>
              </w:rPr>
              <w:t>根据投标人针对本项目采购需求所提供的货物安全质量保障方案（内容包括：①货物制作及生产方案、②货物（含材料）选型、③质量及安全标准、④质量及安全保障措施）进行评审。所提供的货物安全质量保障方案应具针对性、条理清晰，内容明确具体、合理可行，货物（含材料）选型合理、可靠、耐用。 1、货物安全质量保障方案完全满足且优于采购需求的，得</w:t>
            </w:r>
            <w:r>
              <w:rPr>
                <w:rFonts w:hint="eastAsia" w:ascii="宋体" w:hAnsi="宋体" w:eastAsia="宋体" w:cs="宋体"/>
                <w:kern w:val="2"/>
                <w:sz w:val="24"/>
                <w:szCs w:val="24"/>
                <w:lang w:val="en-US" w:eastAsia="zh-CN"/>
              </w:rPr>
              <w:t>8</w:t>
            </w:r>
            <w:r>
              <w:rPr>
                <w:rFonts w:hint="eastAsia" w:ascii="宋体" w:hAnsi="宋体" w:eastAsia="宋体" w:cs="宋体"/>
                <w:kern w:val="2"/>
                <w:sz w:val="24"/>
                <w:szCs w:val="24"/>
              </w:rPr>
              <w:t>分； 2、货物安全质量保障方案完全满足采购需求的，得5分； 3、货物安全质量保障方案部分满足采购需求的，得2分； 4、未提供货物安全质量保障方案的不得分。</w:t>
            </w:r>
          </w:p>
        </w:tc>
      </w:tr>
      <w:tr w14:paraId="0AD687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93" w:type="dxa"/>
            <w:vMerge w:val="continue"/>
            <w:vAlign w:val="top"/>
          </w:tcPr>
          <w:p w14:paraId="2A2FC509">
            <w:pPr>
              <w:keepNext w:val="0"/>
              <w:keepLines w:val="0"/>
              <w:pageBreakBefore w:val="0"/>
              <w:widowControl/>
              <w:kinsoku/>
              <w:wordWrap/>
              <w:overflowPunct/>
              <w:topLinePunct w:val="0"/>
              <w:autoSpaceDE/>
              <w:autoSpaceDN/>
              <w:bidi w:val="0"/>
              <w:adjustRightInd/>
              <w:snapToGrid/>
              <w:spacing w:line="520" w:lineRule="exact"/>
              <w:ind w:left="0" w:right="0" w:firstLine="0" w:firstLineChars="0"/>
              <w:textAlignment w:val="auto"/>
              <w:rPr>
                <w:rFonts w:hint="eastAsia" w:ascii="宋体" w:hAnsi="宋体" w:eastAsia="宋体" w:cs="宋体"/>
                <w:sz w:val="24"/>
                <w:szCs w:val="24"/>
              </w:rPr>
            </w:pPr>
          </w:p>
        </w:tc>
        <w:tc>
          <w:tcPr>
            <w:tcW w:w="2017" w:type="dxa"/>
            <w:vAlign w:val="center"/>
          </w:tcPr>
          <w:p w14:paraId="7ED5EF61">
            <w:pPr>
              <w:pStyle w:val="226"/>
              <w:keepNext w:val="0"/>
              <w:keepLines w:val="0"/>
              <w:pageBreakBefore w:val="0"/>
              <w:widowControl/>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安装调试方案 (</w:t>
            </w:r>
            <w:r>
              <w:rPr>
                <w:rFonts w:hint="eastAsia" w:ascii="宋体" w:hAnsi="宋体" w:eastAsia="宋体" w:cs="宋体"/>
                <w:kern w:val="2"/>
                <w:sz w:val="24"/>
                <w:szCs w:val="24"/>
                <w:lang w:val="en-US" w:eastAsia="zh-CN"/>
              </w:rPr>
              <w:t>8</w:t>
            </w:r>
            <w:r>
              <w:rPr>
                <w:rFonts w:hint="eastAsia" w:ascii="宋体" w:hAnsi="宋体" w:eastAsia="宋体" w:cs="宋体"/>
                <w:kern w:val="2"/>
                <w:sz w:val="24"/>
                <w:szCs w:val="24"/>
              </w:rPr>
              <w:t>分)，（等次分值选择：0;</w:t>
            </w: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rPr>
              <w:t>;</w:t>
            </w: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rPr>
              <w:t>;</w:t>
            </w:r>
            <w:r>
              <w:rPr>
                <w:rFonts w:hint="eastAsia" w:ascii="宋体" w:hAnsi="宋体" w:eastAsia="宋体" w:cs="宋体"/>
                <w:kern w:val="2"/>
                <w:sz w:val="24"/>
                <w:szCs w:val="24"/>
                <w:lang w:val="en-US" w:eastAsia="zh-CN"/>
              </w:rPr>
              <w:t>8</w:t>
            </w:r>
            <w:r>
              <w:rPr>
                <w:rFonts w:hint="eastAsia" w:ascii="宋体" w:hAnsi="宋体" w:eastAsia="宋体" w:cs="宋体"/>
                <w:kern w:val="2"/>
                <w:sz w:val="24"/>
                <w:szCs w:val="24"/>
              </w:rPr>
              <w:t>;）</w:t>
            </w:r>
          </w:p>
        </w:tc>
        <w:tc>
          <w:tcPr>
            <w:tcW w:w="6547" w:type="dxa"/>
            <w:vAlign w:val="top"/>
          </w:tcPr>
          <w:p w14:paraId="1B2C8EAC">
            <w:pPr>
              <w:pStyle w:val="226"/>
              <w:keepNext w:val="0"/>
              <w:keepLines w:val="0"/>
              <w:pageBreakBefore w:val="0"/>
              <w:widowControl/>
              <w:kinsoku/>
              <w:wordWrap/>
              <w:overflowPunct/>
              <w:topLinePunct w:val="0"/>
              <w:autoSpaceDE/>
              <w:autoSpaceDN/>
              <w:bidi w:val="0"/>
              <w:adjustRightInd/>
              <w:snapToGrid/>
              <w:spacing w:line="520" w:lineRule="exact"/>
              <w:ind w:left="0" w:right="0" w:firstLine="0" w:firstLineChars="0"/>
              <w:textAlignment w:val="auto"/>
              <w:rPr>
                <w:rFonts w:hint="eastAsia" w:ascii="宋体" w:hAnsi="宋体" w:eastAsia="宋体" w:cs="宋体"/>
                <w:kern w:val="2"/>
                <w:sz w:val="24"/>
                <w:szCs w:val="24"/>
              </w:rPr>
            </w:pPr>
            <w:r>
              <w:rPr>
                <w:rFonts w:hint="eastAsia" w:ascii="宋体" w:hAnsi="宋体" w:eastAsia="宋体" w:cs="宋体"/>
                <w:kern w:val="2"/>
                <w:sz w:val="24"/>
                <w:szCs w:val="24"/>
              </w:rPr>
              <w:t>根据投标人针对本项目采购需求所提供的安装调试方案（内容包括：①安装调试方案、②安装调试技术重点难点分析及应对措施、③安装人员安排计划）进行评审。所提供的安装调试方案应具针对性、条理清晰，内容明确具体、合理可行。 1、安装调试方案完全满足且优于采购需求的，得</w:t>
            </w:r>
            <w:r>
              <w:rPr>
                <w:rFonts w:hint="eastAsia" w:ascii="宋体" w:hAnsi="宋体" w:eastAsia="宋体" w:cs="宋体"/>
                <w:kern w:val="2"/>
                <w:sz w:val="24"/>
                <w:szCs w:val="24"/>
                <w:lang w:val="en-US" w:eastAsia="zh-CN"/>
              </w:rPr>
              <w:t>8</w:t>
            </w:r>
            <w:r>
              <w:rPr>
                <w:rFonts w:hint="eastAsia" w:ascii="宋体" w:hAnsi="宋体" w:eastAsia="宋体" w:cs="宋体"/>
                <w:kern w:val="2"/>
                <w:sz w:val="24"/>
                <w:szCs w:val="24"/>
              </w:rPr>
              <w:t>分； 2、安装调试方案完全满足采购需求的，得</w:t>
            </w: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rPr>
              <w:t>分； 3、安装调试方案部分满足采购需求的，得</w:t>
            </w: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rPr>
              <w:t>分； 4、未提供安装调试方案的不得分。</w:t>
            </w:r>
          </w:p>
        </w:tc>
      </w:tr>
      <w:tr w14:paraId="6C261B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93" w:type="dxa"/>
            <w:vMerge w:val="continue"/>
            <w:vAlign w:val="top"/>
          </w:tcPr>
          <w:p w14:paraId="647FCB81">
            <w:pPr>
              <w:keepNext w:val="0"/>
              <w:keepLines w:val="0"/>
              <w:pageBreakBefore w:val="0"/>
              <w:widowControl/>
              <w:kinsoku/>
              <w:wordWrap/>
              <w:overflowPunct/>
              <w:topLinePunct w:val="0"/>
              <w:autoSpaceDE/>
              <w:autoSpaceDN/>
              <w:bidi w:val="0"/>
              <w:adjustRightInd/>
              <w:snapToGrid/>
              <w:spacing w:line="520" w:lineRule="exact"/>
              <w:ind w:left="0" w:right="0" w:firstLine="0" w:firstLineChars="0"/>
              <w:textAlignment w:val="auto"/>
              <w:rPr>
                <w:rFonts w:hint="eastAsia" w:ascii="宋体" w:hAnsi="宋体" w:eastAsia="宋体" w:cs="宋体"/>
                <w:sz w:val="24"/>
                <w:szCs w:val="24"/>
              </w:rPr>
            </w:pPr>
          </w:p>
        </w:tc>
        <w:tc>
          <w:tcPr>
            <w:tcW w:w="2017" w:type="dxa"/>
            <w:vAlign w:val="center"/>
          </w:tcPr>
          <w:p w14:paraId="2E779955">
            <w:pPr>
              <w:pStyle w:val="226"/>
              <w:keepNext w:val="0"/>
              <w:keepLines w:val="0"/>
              <w:pageBreakBefore w:val="0"/>
              <w:widowControl/>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供货进度计划和保障措施 (</w:t>
            </w:r>
            <w:r>
              <w:rPr>
                <w:rFonts w:hint="eastAsia" w:ascii="宋体" w:hAnsi="宋体" w:eastAsia="宋体" w:cs="宋体"/>
                <w:kern w:val="2"/>
                <w:sz w:val="24"/>
                <w:szCs w:val="24"/>
                <w:lang w:val="en-US" w:eastAsia="zh-CN"/>
              </w:rPr>
              <w:t>7</w:t>
            </w:r>
            <w:r>
              <w:rPr>
                <w:rFonts w:hint="eastAsia" w:ascii="宋体" w:hAnsi="宋体" w:eastAsia="宋体" w:cs="宋体"/>
                <w:kern w:val="2"/>
                <w:sz w:val="24"/>
                <w:szCs w:val="24"/>
              </w:rPr>
              <w:t>分)，（等次分值选择：0;</w:t>
            </w: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rPr>
              <w:t>;</w:t>
            </w: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rPr>
              <w:t>;</w:t>
            </w:r>
            <w:r>
              <w:rPr>
                <w:rFonts w:hint="eastAsia" w:ascii="宋体" w:hAnsi="宋体" w:eastAsia="宋体" w:cs="宋体"/>
                <w:kern w:val="2"/>
                <w:sz w:val="24"/>
                <w:szCs w:val="24"/>
                <w:lang w:val="en-US" w:eastAsia="zh-CN"/>
              </w:rPr>
              <w:t>7</w:t>
            </w:r>
            <w:r>
              <w:rPr>
                <w:rFonts w:hint="eastAsia" w:ascii="宋体" w:hAnsi="宋体" w:eastAsia="宋体" w:cs="宋体"/>
                <w:kern w:val="2"/>
                <w:sz w:val="24"/>
                <w:szCs w:val="24"/>
              </w:rPr>
              <w:t>;）</w:t>
            </w:r>
          </w:p>
        </w:tc>
        <w:tc>
          <w:tcPr>
            <w:tcW w:w="6547" w:type="dxa"/>
            <w:vAlign w:val="top"/>
          </w:tcPr>
          <w:p w14:paraId="366440E2">
            <w:pPr>
              <w:pStyle w:val="226"/>
              <w:keepNext w:val="0"/>
              <w:keepLines w:val="0"/>
              <w:pageBreakBefore w:val="0"/>
              <w:widowControl/>
              <w:kinsoku/>
              <w:wordWrap/>
              <w:overflowPunct/>
              <w:topLinePunct w:val="0"/>
              <w:autoSpaceDE/>
              <w:autoSpaceDN/>
              <w:bidi w:val="0"/>
              <w:adjustRightInd/>
              <w:snapToGrid/>
              <w:spacing w:line="520" w:lineRule="exact"/>
              <w:ind w:left="0" w:right="0" w:firstLine="0" w:firstLineChars="0"/>
              <w:textAlignment w:val="auto"/>
              <w:rPr>
                <w:rFonts w:hint="eastAsia" w:ascii="宋体" w:hAnsi="宋体" w:eastAsia="宋体" w:cs="宋体"/>
                <w:kern w:val="2"/>
                <w:sz w:val="24"/>
                <w:szCs w:val="24"/>
              </w:rPr>
            </w:pPr>
            <w:r>
              <w:rPr>
                <w:rFonts w:hint="eastAsia" w:ascii="宋体" w:hAnsi="宋体" w:eastAsia="宋体" w:cs="宋体"/>
                <w:kern w:val="2"/>
                <w:sz w:val="24"/>
                <w:szCs w:val="24"/>
              </w:rPr>
              <w:t>根据投标人针对本项目采购需求所提供的供货进度计划和保障措施（内容包括：①供货进度计划、②供货进度保障措施、③供货人员及车辆安排计划）进行评审。所提供的供货进度计划和保障措施应具针对性、条理清晰，内容明确具体、合理可行。 1、供货进度计划和保障措施完全满足且优于采购需求的，得</w:t>
            </w:r>
            <w:r>
              <w:rPr>
                <w:rFonts w:hint="eastAsia" w:ascii="宋体" w:hAnsi="宋体" w:eastAsia="宋体" w:cs="宋体"/>
                <w:kern w:val="2"/>
                <w:sz w:val="24"/>
                <w:szCs w:val="24"/>
                <w:lang w:val="en-US" w:eastAsia="zh-CN"/>
              </w:rPr>
              <w:t>7</w:t>
            </w:r>
            <w:r>
              <w:rPr>
                <w:rFonts w:hint="eastAsia" w:ascii="宋体" w:hAnsi="宋体" w:eastAsia="宋体" w:cs="宋体"/>
                <w:kern w:val="2"/>
                <w:sz w:val="24"/>
                <w:szCs w:val="24"/>
              </w:rPr>
              <w:t>分； 2、供货进度计划和保障措施完全满足采购需求的，得4分； 3、供货进度计划和保障措施部分满足采购需求的，得</w:t>
            </w: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rPr>
              <w:t>分； 4、未提供货物供货方案的不得分。</w:t>
            </w:r>
          </w:p>
        </w:tc>
      </w:tr>
      <w:tr w14:paraId="7CF24D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93" w:type="dxa"/>
            <w:vMerge w:val="restart"/>
            <w:vAlign w:val="center"/>
          </w:tcPr>
          <w:p w14:paraId="0BD534B5">
            <w:pPr>
              <w:pStyle w:val="226"/>
              <w:keepNext w:val="0"/>
              <w:keepLines w:val="0"/>
              <w:pageBreakBefore w:val="0"/>
              <w:widowControl/>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商务部分</w:t>
            </w:r>
          </w:p>
        </w:tc>
        <w:tc>
          <w:tcPr>
            <w:tcW w:w="2017" w:type="dxa"/>
            <w:vAlign w:val="center"/>
          </w:tcPr>
          <w:p w14:paraId="74CB5861">
            <w:pPr>
              <w:pStyle w:val="226"/>
              <w:keepNext w:val="0"/>
              <w:keepLines w:val="0"/>
              <w:pageBreakBefore w:val="0"/>
              <w:widowControl/>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同类项目业绩 (</w:t>
            </w:r>
            <w:r>
              <w:rPr>
                <w:rFonts w:hint="eastAsia" w:ascii="宋体" w:hAnsi="宋体" w:eastAsia="宋体" w:cs="宋体"/>
                <w:kern w:val="2"/>
                <w:sz w:val="24"/>
                <w:szCs w:val="24"/>
                <w:lang w:val="en-US" w:eastAsia="zh-CN"/>
              </w:rPr>
              <w:t>9</w:t>
            </w:r>
            <w:r>
              <w:rPr>
                <w:rFonts w:hint="eastAsia" w:ascii="宋体" w:hAnsi="宋体" w:eastAsia="宋体" w:cs="宋体"/>
                <w:kern w:val="2"/>
                <w:sz w:val="24"/>
                <w:szCs w:val="24"/>
              </w:rPr>
              <w:t>分)，（等次分值选择：0;3;</w:t>
            </w:r>
            <w:r>
              <w:rPr>
                <w:rFonts w:hint="eastAsia" w:ascii="宋体" w:hAnsi="宋体" w:eastAsia="宋体" w:cs="宋体"/>
                <w:kern w:val="2"/>
                <w:sz w:val="24"/>
                <w:szCs w:val="24"/>
                <w:lang w:val="en-US" w:eastAsia="zh-CN"/>
              </w:rPr>
              <w:t>6</w:t>
            </w:r>
            <w:r>
              <w:rPr>
                <w:rFonts w:hint="eastAsia" w:ascii="宋体" w:hAnsi="宋体" w:eastAsia="宋体" w:cs="宋体"/>
                <w:kern w:val="2"/>
                <w:sz w:val="24"/>
                <w:szCs w:val="24"/>
              </w:rPr>
              <w:t>;</w:t>
            </w:r>
            <w:r>
              <w:rPr>
                <w:rFonts w:hint="eastAsia" w:ascii="宋体" w:hAnsi="宋体" w:eastAsia="宋体" w:cs="宋体"/>
                <w:kern w:val="2"/>
                <w:sz w:val="24"/>
                <w:szCs w:val="24"/>
                <w:lang w:val="en-US" w:eastAsia="zh-CN"/>
              </w:rPr>
              <w:t>9</w:t>
            </w:r>
            <w:r>
              <w:rPr>
                <w:rFonts w:hint="eastAsia" w:ascii="宋体" w:hAnsi="宋体" w:eastAsia="宋体" w:cs="宋体"/>
                <w:kern w:val="2"/>
                <w:sz w:val="24"/>
                <w:szCs w:val="24"/>
              </w:rPr>
              <w:t>;）</w:t>
            </w:r>
          </w:p>
        </w:tc>
        <w:tc>
          <w:tcPr>
            <w:tcW w:w="6547" w:type="dxa"/>
            <w:vAlign w:val="top"/>
          </w:tcPr>
          <w:p w14:paraId="6A58EF4A">
            <w:pPr>
              <w:pStyle w:val="226"/>
              <w:keepNext w:val="0"/>
              <w:keepLines w:val="0"/>
              <w:pageBreakBefore w:val="0"/>
              <w:widowControl/>
              <w:kinsoku/>
              <w:wordWrap/>
              <w:overflowPunct/>
              <w:topLinePunct w:val="0"/>
              <w:autoSpaceDE/>
              <w:autoSpaceDN/>
              <w:bidi w:val="0"/>
              <w:adjustRightInd/>
              <w:snapToGrid/>
              <w:spacing w:line="520" w:lineRule="exact"/>
              <w:ind w:left="0" w:right="0" w:firstLine="0" w:firstLineChars="0"/>
              <w:textAlignment w:val="auto"/>
              <w:rPr>
                <w:rFonts w:hint="eastAsia" w:ascii="宋体" w:hAnsi="宋体" w:eastAsia="宋体" w:cs="宋体"/>
                <w:kern w:val="2"/>
                <w:sz w:val="24"/>
                <w:szCs w:val="24"/>
              </w:rPr>
            </w:pPr>
            <w:r>
              <w:rPr>
                <w:rFonts w:hint="eastAsia" w:ascii="宋体" w:hAnsi="宋体" w:eastAsia="宋体" w:cs="宋体"/>
                <w:kern w:val="2"/>
                <w:sz w:val="24"/>
                <w:szCs w:val="24"/>
              </w:rPr>
              <w:t>投标人2021年1月1日至今（以合同签订日期为准）具有家具类项目业绩的，每项得3分，未提供的不得分。本项最高得分为</w:t>
            </w:r>
            <w:r>
              <w:rPr>
                <w:rFonts w:hint="eastAsia" w:ascii="宋体" w:hAnsi="宋体" w:eastAsia="宋体" w:cs="宋体"/>
                <w:kern w:val="2"/>
                <w:sz w:val="24"/>
                <w:szCs w:val="24"/>
                <w:lang w:val="en-US" w:eastAsia="zh-CN"/>
              </w:rPr>
              <w:t>9</w:t>
            </w:r>
            <w:r>
              <w:rPr>
                <w:rFonts w:hint="eastAsia" w:ascii="宋体" w:hAnsi="宋体" w:eastAsia="宋体" w:cs="宋体"/>
                <w:kern w:val="2"/>
                <w:sz w:val="24"/>
                <w:szCs w:val="24"/>
              </w:rPr>
              <w:t>分。 注：需在投标文件中提供项目合同关键页（须体现出签订合同双方的单位名称、签订合同双方的落款盖章、签订日期、项目主要内容等的关键页）复印件，并加盖投标人单位公章，否则不得分。</w:t>
            </w:r>
          </w:p>
        </w:tc>
      </w:tr>
      <w:tr w14:paraId="179764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93" w:type="dxa"/>
            <w:vMerge w:val="continue"/>
            <w:vAlign w:val="top"/>
          </w:tcPr>
          <w:p w14:paraId="319B6B1A">
            <w:pPr>
              <w:keepNext w:val="0"/>
              <w:keepLines w:val="0"/>
              <w:pageBreakBefore w:val="0"/>
              <w:widowControl/>
              <w:kinsoku/>
              <w:wordWrap/>
              <w:overflowPunct/>
              <w:topLinePunct w:val="0"/>
              <w:autoSpaceDE/>
              <w:autoSpaceDN/>
              <w:bidi w:val="0"/>
              <w:adjustRightInd/>
              <w:snapToGrid/>
              <w:spacing w:line="520" w:lineRule="exact"/>
              <w:ind w:left="0" w:right="0" w:firstLine="0" w:firstLineChars="0"/>
              <w:textAlignment w:val="auto"/>
              <w:rPr>
                <w:rFonts w:hint="eastAsia" w:ascii="宋体" w:hAnsi="宋体" w:eastAsia="宋体" w:cs="宋体"/>
                <w:sz w:val="24"/>
                <w:szCs w:val="24"/>
              </w:rPr>
            </w:pPr>
          </w:p>
        </w:tc>
        <w:tc>
          <w:tcPr>
            <w:tcW w:w="2017" w:type="dxa"/>
            <w:vAlign w:val="center"/>
          </w:tcPr>
          <w:p w14:paraId="219D31B2">
            <w:pPr>
              <w:pStyle w:val="226"/>
              <w:keepNext w:val="0"/>
              <w:keepLines w:val="0"/>
              <w:pageBreakBefore w:val="0"/>
              <w:widowControl/>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售后服务方案 (</w:t>
            </w:r>
            <w:r>
              <w:rPr>
                <w:rFonts w:hint="eastAsia" w:ascii="宋体" w:hAnsi="宋体" w:eastAsia="宋体" w:cs="宋体"/>
                <w:kern w:val="2"/>
                <w:sz w:val="24"/>
                <w:szCs w:val="24"/>
                <w:lang w:val="en-US" w:eastAsia="zh-CN"/>
              </w:rPr>
              <w:t>11</w:t>
            </w:r>
            <w:r>
              <w:rPr>
                <w:rFonts w:hint="eastAsia" w:ascii="宋体" w:hAnsi="宋体" w:eastAsia="宋体" w:cs="宋体"/>
                <w:kern w:val="2"/>
                <w:sz w:val="24"/>
                <w:szCs w:val="24"/>
              </w:rPr>
              <w:t>分)，（等次分值选择：0;2;</w:t>
            </w:r>
            <w:r>
              <w:rPr>
                <w:rFonts w:hint="eastAsia" w:ascii="宋体" w:hAnsi="宋体" w:eastAsia="宋体" w:cs="宋体"/>
                <w:kern w:val="2"/>
                <w:sz w:val="24"/>
                <w:szCs w:val="24"/>
                <w:lang w:val="en-US" w:eastAsia="zh-CN"/>
              </w:rPr>
              <w:t>6</w:t>
            </w:r>
            <w:r>
              <w:rPr>
                <w:rFonts w:hint="eastAsia" w:ascii="宋体" w:hAnsi="宋体" w:eastAsia="宋体" w:cs="宋体"/>
                <w:kern w:val="2"/>
                <w:sz w:val="24"/>
                <w:szCs w:val="24"/>
              </w:rPr>
              <w:t>;</w:t>
            </w:r>
            <w:r>
              <w:rPr>
                <w:rFonts w:hint="eastAsia" w:ascii="宋体" w:hAnsi="宋体" w:eastAsia="宋体" w:cs="宋体"/>
                <w:kern w:val="2"/>
                <w:sz w:val="24"/>
                <w:szCs w:val="24"/>
                <w:lang w:val="en-US" w:eastAsia="zh-CN"/>
              </w:rPr>
              <w:t>11</w:t>
            </w:r>
            <w:r>
              <w:rPr>
                <w:rFonts w:hint="eastAsia" w:ascii="宋体" w:hAnsi="宋体" w:eastAsia="宋体" w:cs="宋体"/>
                <w:kern w:val="2"/>
                <w:sz w:val="24"/>
                <w:szCs w:val="24"/>
              </w:rPr>
              <w:t>;）</w:t>
            </w:r>
          </w:p>
        </w:tc>
        <w:tc>
          <w:tcPr>
            <w:tcW w:w="6547" w:type="dxa"/>
            <w:vAlign w:val="top"/>
          </w:tcPr>
          <w:p w14:paraId="59B34E91">
            <w:pPr>
              <w:pStyle w:val="226"/>
              <w:keepNext w:val="0"/>
              <w:keepLines w:val="0"/>
              <w:pageBreakBefore w:val="0"/>
              <w:widowControl/>
              <w:kinsoku/>
              <w:wordWrap/>
              <w:overflowPunct/>
              <w:topLinePunct w:val="0"/>
              <w:autoSpaceDE/>
              <w:autoSpaceDN/>
              <w:bidi w:val="0"/>
              <w:adjustRightInd/>
              <w:snapToGrid/>
              <w:spacing w:line="520" w:lineRule="exact"/>
              <w:ind w:left="0" w:right="0" w:firstLine="0" w:firstLineChars="0"/>
              <w:textAlignment w:val="auto"/>
              <w:rPr>
                <w:rFonts w:hint="eastAsia" w:ascii="宋体" w:hAnsi="宋体" w:eastAsia="宋体" w:cs="宋体"/>
                <w:kern w:val="2"/>
                <w:sz w:val="24"/>
                <w:szCs w:val="24"/>
              </w:rPr>
            </w:pPr>
            <w:r>
              <w:rPr>
                <w:rFonts w:hint="eastAsia" w:ascii="宋体" w:hAnsi="宋体" w:eastAsia="宋体" w:cs="宋体"/>
                <w:kern w:val="2"/>
                <w:sz w:val="24"/>
                <w:szCs w:val="24"/>
              </w:rPr>
              <w:t>根据投标人针对本项目采购需求所提供的售后服务方案（内容包括：①质量保证期（或保修期）响应情况；②维修响应时间承诺；③售后服务人员安排计划；④应急维修措施）进行评审。所提供的售后服务方案应具针对性、条理清晰，内容明确具体、合理可行。 1、售后服务方案完全满足且优于采购需求的，得</w:t>
            </w:r>
            <w:r>
              <w:rPr>
                <w:rFonts w:hint="eastAsia" w:ascii="宋体" w:hAnsi="宋体" w:eastAsia="宋体" w:cs="宋体"/>
                <w:kern w:val="2"/>
                <w:sz w:val="24"/>
                <w:szCs w:val="24"/>
                <w:lang w:val="en-US" w:eastAsia="zh-CN"/>
              </w:rPr>
              <w:t>11</w:t>
            </w:r>
            <w:r>
              <w:rPr>
                <w:rFonts w:hint="eastAsia" w:ascii="宋体" w:hAnsi="宋体" w:eastAsia="宋体" w:cs="宋体"/>
                <w:kern w:val="2"/>
                <w:sz w:val="24"/>
                <w:szCs w:val="24"/>
              </w:rPr>
              <w:t>分； 2、售后服务方案完全满足采购需求的，得</w:t>
            </w:r>
            <w:r>
              <w:rPr>
                <w:rFonts w:hint="eastAsia" w:ascii="宋体" w:hAnsi="宋体" w:eastAsia="宋体" w:cs="宋体"/>
                <w:kern w:val="2"/>
                <w:sz w:val="24"/>
                <w:szCs w:val="24"/>
                <w:lang w:val="en-US" w:eastAsia="zh-CN"/>
              </w:rPr>
              <w:t>6</w:t>
            </w:r>
            <w:r>
              <w:rPr>
                <w:rFonts w:hint="eastAsia" w:ascii="宋体" w:hAnsi="宋体" w:eastAsia="宋体" w:cs="宋体"/>
                <w:kern w:val="2"/>
                <w:sz w:val="24"/>
                <w:szCs w:val="24"/>
              </w:rPr>
              <w:t>分； 3、售后服务方案部分满足采购需求的，得2分； 4、未提供售后服务方案的不得分。</w:t>
            </w:r>
          </w:p>
        </w:tc>
      </w:tr>
      <w:tr w14:paraId="2F27B3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93" w:type="dxa"/>
            <w:vAlign w:val="center"/>
          </w:tcPr>
          <w:p w14:paraId="47CB2E77">
            <w:pPr>
              <w:pStyle w:val="226"/>
              <w:keepNext w:val="0"/>
              <w:keepLines w:val="0"/>
              <w:pageBreakBefore w:val="0"/>
              <w:widowControl/>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投标报价</w:t>
            </w:r>
          </w:p>
        </w:tc>
        <w:tc>
          <w:tcPr>
            <w:tcW w:w="2017" w:type="dxa"/>
            <w:vAlign w:val="center"/>
          </w:tcPr>
          <w:p w14:paraId="0C16C84C">
            <w:pPr>
              <w:pStyle w:val="226"/>
              <w:keepNext w:val="0"/>
              <w:keepLines w:val="0"/>
              <w:pageBreakBefore w:val="0"/>
              <w:widowControl/>
              <w:kinsoku/>
              <w:wordWrap/>
              <w:overflowPunct/>
              <w:topLinePunct w:val="0"/>
              <w:autoSpaceDE/>
              <w:autoSpaceDN/>
              <w:bidi w:val="0"/>
              <w:adjustRightInd/>
              <w:snapToGrid/>
              <w:spacing w:line="520" w:lineRule="exact"/>
              <w:ind w:left="0" w:right="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投标报价得分 (30分)</w:t>
            </w:r>
          </w:p>
        </w:tc>
        <w:tc>
          <w:tcPr>
            <w:tcW w:w="6547" w:type="dxa"/>
            <w:vAlign w:val="top"/>
          </w:tcPr>
          <w:p w14:paraId="437DBAD3">
            <w:pPr>
              <w:pStyle w:val="226"/>
              <w:keepNext w:val="0"/>
              <w:keepLines w:val="0"/>
              <w:pageBreakBefore w:val="0"/>
              <w:widowControl/>
              <w:kinsoku/>
              <w:wordWrap/>
              <w:overflowPunct/>
              <w:topLinePunct w:val="0"/>
              <w:autoSpaceDE/>
              <w:autoSpaceDN/>
              <w:bidi w:val="0"/>
              <w:adjustRightInd/>
              <w:snapToGrid/>
              <w:spacing w:line="520" w:lineRule="exact"/>
              <w:ind w:left="0" w:right="0" w:firstLine="0" w:firstLineChars="0"/>
              <w:textAlignment w:val="auto"/>
              <w:rPr>
                <w:rFonts w:hint="eastAsia" w:ascii="宋体" w:hAnsi="宋体" w:eastAsia="宋体" w:cs="宋体"/>
                <w:kern w:val="2"/>
                <w:sz w:val="24"/>
                <w:szCs w:val="24"/>
              </w:rPr>
            </w:pPr>
            <w:r>
              <w:rPr>
                <w:rFonts w:hint="eastAsia" w:ascii="宋体" w:hAnsi="宋体" w:eastAsia="宋体" w:cs="宋体"/>
                <w:kern w:val="2"/>
                <w:sz w:val="24"/>
                <w:szCs w:val="24"/>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2404A54A">
      <w:pPr>
        <w:rPr>
          <w:rFonts w:hint="eastAsia" w:ascii="宋体" w:hAnsi="宋体" w:eastAsia="宋体" w:cs="宋体"/>
          <w:b/>
          <w:bCs/>
          <w:color w:val="auto"/>
          <w:sz w:val="22"/>
          <w:szCs w:val="28"/>
          <w:lang w:val="en-US" w:eastAsia="zh-CN"/>
        </w:rPr>
      </w:pPr>
    </w:p>
    <w:p w14:paraId="4E83C5D2">
      <w:pPr>
        <w:pStyle w:val="23"/>
        <w:numPr>
          <w:ilvl w:val="0"/>
          <w:numId w:val="0"/>
        </w:numPr>
        <w:tabs>
          <w:tab w:val="left" w:pos="945"/>
        </w:tabs>
        <w:spacing w:line="480" w:lineRule="exact"/>
        <w:ind w:leftChars="200"/>
        <w:rPr>
          <w:rFonts w:hint="eastAsia" w:hAnsi="宋体"/>
          <w:color w:val="auto"/>
          <w:sz w:val="24"/>
        </w:rPr>
      </w:pPr>
      <w:r>
        <w:rPr>
          <w:rFonts w:hint="eastAsia" w:hAnsi="宋体"/>
          <w:color w:val="auto"/>
          <w:sz w:val="24"/>
          <w:lang w:eastAsia="zh-CN"/>
        </w:rPr>
        <w:t>（</w:t>
      </w:r>
      <w:r>
        <w:rPr>
          <w:rFonts w:hint="eastAsia" w:hAnsi="宋体"/>
          <w:color w:val="auto"/>
          <w:sz w:val="24"/>
          <w:lang w:val="en-US" w:eastAsia="zh-CN"/>
        </w:rPr>
        <w:t>一</w:t>
      </w:r>
      <w:r>
        <w:rPr>
          <w:rFonts w:hint="eastAsia" w:hAnsi="宋体"/>
          <w:color w:val="auto"/>
          <w:sz w:val="24"/>
          <w:lang w:eastAsia="zh-CN"/>
        </w:rPr>
        <w:t>）</w:t>
      </w:r>
      <w:r>
        <w:rPr>
          <w:rFonts w:hint="eastAsia" w:hAnsi="宋体"/>
          <w:color w:val="auto"/>
          <w:sz w:val="24"/>
        </w:rPr>
        <w:t>技术评定</w:t>
      </w:r>
    </w:p>
    <w:p w14:paraId="40D9B3EE">
      <w:pPr>
        <w:pStyle w:val="23"/>
        <w:spacing w:line="480" w:lineRule="exact"/>
        <w:ind w:firstLine="480" w:firstLineChars="200"/>
        <w:rPr>
          <w:rFonts w:hint="eastAsia" w:hAnsi="宋体"/>
          <w:color w:val="auto"/>
          <w:sz w:val="24"/>
        </w:rPr>
      </w:pPr>
      <w:r>
        <w:rPr>
          <w:rFonts w:hint="eastAsia" w:hAnsi="宋体"/>
          <w:color w:val="auto"/>
          <w:sz w:val="24"/>
        </w:rPr>
        <w:t>（1）由</w:t>
      </w:r>
      <w:r>
        <w:rPr>
          <w:rFonts w:hint="eastAsia" w:hAnsi="宋体"/>
          <w:color w:val="auto"/>
          <w:sz w:val="24"/>
          <w:lang w:val="en-US" w:eastAsia="zh-CN"/>
        </w:rPr>
        <w:t>评审</w:t>
      </w:r>
      <w:r>
        <w:rPr>
          <w:rFonts w:hint="eastAsia" w:hAnsi="宋体"/>
          <w:color w:val="auto"/>
          <w:sz w:val="24"/>
        </w:rPr>
        <w:t>小组对每个响应人的技术指标响应进行审核和分析；对每个响应人的技术指标响应进行评分，填写《技术评分表》。</w:t>
      </w:r>
    </w:p>
    <w:p w14:paraId="29CA11CC">
      <w:pPr>
        <w:pStyle w:val="23"/>
        <w:spacing w:line="480" w:lineRule="exact"/>
        <w:ind w:firstLine="480" w:firstLineChars="200"/>
        <w:rPr>
          <w:rFonts w:hint="eastAsia" w:hAnsi="宋体"/>
          <w:color w:val="auto"/>
          <w:sz w:val="24"/>
        </w:rPr>
      </w:pPr>
      <w:r>
        <w:rPr>
          <w:rFonts w:hint="eastAsia" w:hAnsi="宋体"/>
          <w:color w:val="auto"/>
          <w:sz w:val="24"/>
        </w:rPr>
        <w:t>（2）将每一个</w:t>
      </w:r>
      <w:r>
        <w:rPr>
          <w:rFonts w:hint="eastAsia" w:hAnsi="宋体"/>
          <w:color w:val="auto"/>
          <w:sz w:val="24"/>
          <w:lang w:val="en-US" w:eastAsia="zh-CN"/>
        </w:rPr>
        <w:t>评审</w:t>
      </w:r>
      <w:r>
        <w:rPr>
          <w:rFonts w:hint="eastAsia" w:hAnsi="宋体"/>
          <w:color w:val="auto"/>
          <w:sz w:val="24"/>
        </w:rPr>
        <w:t>小组成员的评分汇集，汇集后取其算术平均值，为该响应人的技术评定得分。</w:t>
      </w:r>
    </w:p>
    <w:p w14:paraId="1BEE7018">
      <w:pPr>
        <w:pStyle w:val="23"/>
        <w:numPr>
          <w:ilvl w:val="0"/>
          <w:numId w:val="0"/>
        </w:numPr>
        <w:tabs>
          <w:tab w:val="left" w:pos="945"/>
        </w:tabs>
        <w:spacing w:line="480" w:lineRule="exact"/>
        <w:ind w:leftChars="200"/>
        <w:rPr>
          <w:rFonts w:hint="eastAsia" w:hAnsi="宋体"/>
          <w:color w:val="auto"/>
          <w:sz w:val="24"/>
        </w:rPr>
      </w:pPr>
      <w:r>
        <w:rPr>
          <w:rFonts w:hint="eastAsia" w:hAnsi="宋体"/>
          <w:color w:val="auto"/>
          <w:sz w:val="24"/>
          <w:lang w:eastAsia="zh-CN"/>
        </w:rPr>
        <w:t>（</w:t>
      </w:r>
      <w:r>
        <w:rPr>
          <w:rFonts w:hint="eastAsia" w:hAnsi="宋体"/>
          <w:color w:val="auto"/>
          <w:sz w:val="24"/>
          <w:lang w:val="en-US" w:eastAsia="zh-CN"/>
        </w:rPr>
        <w:t>二</w:t>
      </w:r>
      <w:r>
        <w:rPr>
          <w:rFonts w:hint="eastAsia" w:hAnsi="宋体"/>
          <w:color w:val="auto"/>
          <w:sz w:val="24"/>
          <w:lang w:eastAsia="zh-CN"/>
        </w:rPr>
        <w:t>）</w:t>
      </w:r>
      <w:r>
        <w:rPr>
          <w:rFonts w:hint="eastAsia" w:hAnsi="宋体"/>
          <w:color w:val="auto"/>
          <w:sz w:val="24"/>
        </w:rPr>
        <w:t>商务评定</w:t>
      </w:r>
    </w:p>
    <w:p w14:paraId="49761E70">
      <w:pPr>
        <w:pStyle w:val="23"/>
        <w:spacing w:line="480" w:lineRule="exact"/>
        <w:ind w:firstLine="480" w:firstLineChars="200"/>
        <w:rPr>
          <w:rFonts w:hint="eastAsia" w:hAnsi="宋体"/>
          <w:color w:val="auto"/>
          <w:sz w:val="24"/>
        </w:rPr>
      </w:pPr>
      <w:r>
        <w:rPr>
          <w:rFonts w:hint="eastAsia" w:hAnsi="宋体"/>
          <w:color w:val="auto"/>
          <w:sz w:val="24"/>
        </w:rPr>
        <w:t>（1）由</w:t>
      </w:r>
      <w:r>
        <w:rPr>
          <w:rFonts w:hint="eastAsia" w:hAnsi="宋体"/>
          <w:color w:val="auto"/>
          <w:sz w:val="24"/>
          <w:lang w:val="en-US" w:eastAsia="zh-CN"/>
        </w:rPr>
        <w:t>评审</w:t>
      </w:r>
      <w:r>
        <w:rPr>
          <w:rFonts w:hint="eastAsia" w:hAnsi="宋体"/>
          <w:color w:val="auto"/>
          <w:sz w:val="24"/>
        </w:rPr>
        <w:t>小组对每个响应人的商务指标响应进行审核和分析；对每个响应人的商务指标响应进行评分，填写《商务评分表》。</w:t>
      </w:r>
    </w:p>
    <w:p w14:paraId="1F507162">
      <w:pPr>
        <w:pStyle w:val="23"/>
        <w:spacing w:line="480" w:lineRule="exact"/>
        <w:ind w:firstLine="480" w:firstLineChars="200"/>
        <w:rPr>
          <w:rFonts w:hint="eastAsia" w:hAnsi="宋体"/>
          <w:color w:val="auto"/>
          <w:sz w:val="24"/>
        </w:rPr>
      </w:pPr>
      <w:r>
        <w:rPr>
          <w:rFonts w:hint="eastAsia" w:hAnsi="宋体"/>
          <w:color w:val="auto"/>
          <w:sz w:val="24"/>
        </w:rPr>
        <w:t>（2）将每一个</w:t>
      </w:r>
      <w:r>
        <w:rPr>
          <w:rFonts w:hint="eastAsia" w:hAnsi="宋体"/>
          <w:color w:val="auto"/>
          <w:sz w:val="24"/>
          <w:lang w:val="en-US" w:eastAsia="zh-CN"/>
        </w:rPr>
        <w:t>评审</w:t>
      </w:r>
      <w:r>
        <w:rPr>
          <w:rFonts w:hint="eastAsia" w:hAnsi="宋体"/>
          <w:color w:val="auto"/>
          <w:sz w:val="24"/>
        </w:rPr>
        <w:t>小组成员的评分汇集，汇集后取其算术平均值，为该响应人的商务评定得分。</w:t>
      </w:r>
    </w:p>
    <w:p w14:paraId="55990588">
      <w:pPr>
        <w:pStyle w:val="23"/>
        <w:numPr>
          <w:ilvl w:val="0"/>
          <w:numId w:val="0"/>
        </w:numPr>
        <w:tabs>
          <w:tab w:val="left" w:pos="945"/>
        </w:tabs>
        <w:spacing w:line="480" w:lineRule="exact"/>
        <w:ind w:leftChars="200"/>
        <w:rPr>
          <w:rFonts w:hint="eastAsia" w:hAnsi="宋体"/>
          <w:color w:val="auto"/>
          <w:sz w:val="24"/>
        </w:rPr>
      </w:pPr>
      <w:r>
        <w:rPr>
          <w:rFonts w:hint="eastAsia" w:hAnsi="宋体"/>
          <w:color w:val="auto"/>
          <w:sz w:val="24"/>
          <w:lang w:eastAsia="zh-CN"/>
        </w:rPr>
        <w:t>（</w:t>
      </w:r>
      <w:r>
        <w:rPr>
          <w:rFonts w:hint="eastAsia" w:hAnsi="宋体"/>
          <w:color w:val="auto"/>
          <w:sz w:val="24"/>
          <w:lang w:val="en-US" w:eastAsia="zh-CN"/>
        </w:rPr>
        <w:t>三</w:t>
      </w:r>
      <w:r>
        <w:rPr>
          <w:rFonts w:hint="eastAsia" w:hAnsi="宋体"/>
          <w:color w:val="auto"/>
          <w:sz w:val="24"/>
          <w:lang w:eastAsia="zh-CN"/>
        </w:rPr>
        <w:t>）</w:t>
      </w:r>
      <w:r>
        <w:rPr>
          <w:rFonts w:hint="eastAsia" w:hAnsi="宋体"/>
          <w:color w:val="auto"/>
          <w:sz w:val="24"/>
        </w:rPr>
        <w:t>价格评定</w:t>
      </w:r>
    </w:p>
    <w:p w14:paraId="62C92AFB">
      <w:pPr>
        <w:pStyle w:val="23"/>
        <w:spacing w:line="480" w:lineRule="exact"/>
        <w:ind w:firstLine="480" w:firstLineChars="200"/>
        <w:rPr>
          <w:rFonts w:hint="eastAsia" w:hAnsi="宋体"/>
          <w:color w:val="auto"/>
          <w:sz w:val="24"/>
        </w:rPr>
      </w:pPr>
      <w:r>
        <w:rPr>
          <w:rFonts w:hint="eastAsia" w:hAnsi="宋体"/>
          <w:color w:val="auto"/>
          <w:sz w:val="24"/>
        </w:rPr>
        <w:t>（1）价格核准：响应文件报价出现前后不一致的，按照下列规定修正：</w:t>
      </w:r>
    </w:p>
    <w:p w14:paraId="049E5AF2">
      <w:pPr>
        <w:pStyle w:val="23"/>
        <w:spacing w:line="480" w:lineRule="exact"/>
        <w:ind w:firstLine="480" w:firstLineChars="200"/>
        <w:rPr>
          <w:rFonts w:hint="eastAsia" w:hAnsi="宋体"/>
          <w:color w:val="auto"/>
          <w:sz w:val="24"/>
        </w:rPr>
      </w:pPr>
      <w:r>
        <w:rPr>
          <w:rFonts w:hint="eastAsia" w:hAnsi="宋体"/>
          <w:color w:val="auto"/>
          <w:sz w:val="24"/>
        </w:rPr>
        <w:t>a）响应文件中报价一览表（报价表）内容与响应文件中相应内容不一致的，以报价一览表（报价表）为准；</w:t>
      </w:r>
    </w:p>
    <w:p w14:paraId="15210018">
      <w:pPr>
        <w:pStyle w:val="23"/>
        <w:spacing w:line="480" w:lineRule="exact"/>
        <w:ind w:firstLine="480" w:firstLineChars="200"/>
        <w:rPr>
          <w:rFonts w:hint="eastAsia" w:hAnsi="宋体"/>
          <w:color w:val="auto"/>
          <w:sz w:val="24"/>
        </w:rPr>
      </w:pPr>
      <w:r>
        <w:rPr>
          <w:rFonts w:hint="eastAsia" w:hAnsi="宋体"/>
          <w:color w:val="auto"/>
          <w:sz w:val="24"/>
        </w:rPr>
        <w:t>b）大写金额和小写金额不一致的，以大写金额为准；</w:t>
      </w:r>
    </w:p>
    <w:p w14:paraId="0E1402D1">
      <w:pPr>
        <w:pStyle w:val="23"/>
        <w:spacing w:line="480" w:lineRule="exact"/>
        <w:ind w:firstLine="480" w:firstLineChars="200"/>
        <w:rPr>
          <w:rFonts w:hint="eastAsia" w:hAnsi="宋体"/>
          <w:color w:val="auto"/>
          <w:sz w:val="24"/>
        </w:rPr>
      </w:pPr>
      <w:r>
        <w:rPr>
          <w:rFonts w:hint="eastAsia" w:hAnsi="宋体"/>
          <w:color w:val="auto"/>
          <w:sz w:val="24"/>
        </w:rPr>
        <w:t>c）单价金额小数点或者百分比有明显错位的，以报价一览表的总价为准，并修改单价；</w:t>
      </w:r>
    </w:p>
    <w:p w14:paraId="6126A4A4">
      <w:pPr>
        <w:pStyle w:val="23"/>
        <w:spacing w:line="480" w:lineRule="exact"/>
        <w:ind w:firstLine="480" w:firstLineChars="200"/>
        <w:rPr>
          <w:rFonts w:hint="eastAsia" w:hAnsi="宋体"/>
          <w:color w:val="auto"/>
          <w:sz w:val="24"/>
        </w:rPr>
      </w:pPr>
      <w:r>
        <w:rPr>
          <w:rFonts w:hint="eastAsia" w:hAnsi="宋体"/>
          <w:color w:val="auto"/>
          <w:sz w:val="24"/>
        </w:rPr>
        <w:t>d）总价金额与按单价汇总金额不一致的，以单价金额计算结果为准。</w:t>
      </w:r>
    </w:p>
    <w:p w14:paraId="7A2DFABF">
      <w:pPr>
        <w:pStyle w:val="23"/>
        <w:spacing w:line="480" w:lineRule="exact"/>
        <w:ind w:firstLine="480" w:firstLineChars="200"/>
        <w:rPr>
          <w:rFonts w:hint="eastAsia" w:hAnsi="宋体"/>
          <w:color w:val="auto"/>
          <w:sz w:val="24"/>
        </w:rPr>
      </w:pPr>
      <w:r>
        <w:rPr>
          <w:rFonts w:hAnsi="宋体"/>
          <w:color w:val="auto"/>
          <w:sz w:val="24"/>
        </w:rPr>
        <w:t>同时出现两种以上不一致的，按照前款规定的顺序修正。</w:t>
      </w:r>
      <w:r>
        <w:rPr>
          <w:rFonts w:hint="eastAsia" w:hAnsi="宋体"/>
          <w:color w:val="auto"/>
          <w:sz w:val="24"/>
        </w:rPr>
        <w:t>响应</w:t>
      </w:r>
      <w:r>
        <w:rPr>
          <w:rFonts w:hAnsi="宋体"/>
          <w:color w:val="auto"/>
          <w:sz w:val="24"/>
        </w:rPr>
        <w:t>人的修正应当采用书面形式，并加盖</w:t>
      </w:r>
      <w:r>
        <w:rPr>
          <w:rFonts w:hint="eastAsia" w:hAnsi="宋体"/>
          <w:color w:val="auto"/>
          <w:sz w:val="24"/>
        </w:rPr>
        <w:t>响应人</w:t>
      </w:r>
      <w:r>
        <w:rPr>
          <w:rFonts w:hAnsi="宋体"/>
          <w:color w:val="auto"/>
          <w:sz w:val="24"/>
        </w:rPr>
        <w:t>公章</w:t>
      </w:r>
      <w:r>
        <w:rPr>
          <w:rFonts w:hint="eastAsia" w:hAnsi="宋体"/>
          <w:color w:val="auto"/>
          <w:sz w:val="24"/>
        </w:rPr>
        <w:t>，或者</w:t>
      </w:r>
      <w:r>
        <w:rPr>
          <w:rFonts w:hAnsi="宋体"/>
          <w:color w:val="auto"/>
          <w:sz w:val="24"/>
        </w:rPr>
        <w:t>由</w:t>
      </w:r>
      <w:r>
        <w:rPr>
          <w:rFonts w:hint="eastAsia" w:hAnsi="宋体"/>
          <w:color w:val="auto"/>
          <w:sz w:val="24"/>
        </w:rPr>
        <w:t>法定代表人/负责人</w:t>
      </w:r>
      <w:r>
        <w:rPr>
          <w:rFonts w:hint="eastAsia" w:hAnsi="宋体"/>
          <w:bCs/>
          <w:color w:val="auto"/>
          <w:sz w:val="24"/>
          <w:szCs w:val="24"/>
        </w:rPr>
        <w:t>或委托代理人</w:t>
      </w:r>
      <w:r>
        <w:rPr>
          <w:rFonts w:hAnsi="宋体"/>
          <w:color w:val="auto"/>
          <w:sz w:val="24"/>
        </w:rPr>
        <w:t>签字。</w:t>
      </w:r>
      <w:r>
        <w:rPr>
          <w:rFonts w:hint="eastAsia" w:hAnsi="宋体"/>
          <w:color w:val="auto"/>
          <w:sz w:val="24"/>
        </w:rPr>
        <w:t>响应</w:t>
      </w:r>
      <w:r>
        <w:rPr>
          <w:rFonts w:hAnsi="宋体"/>
          <w:color w:val="auto"/>
          <w:sz w:val="24"/>
        </w:rPr>
        <w:t>人的澄清、说明或者补正不得超出</w:t>
      </w:r>
      <w:r>
        <w:rPr>
          <w:rFonts w:hint="eastAsia" w:hAnsi="宋体"/>
          <w:color w:val="auto"/>
          <w:sz w:val="24"/>
        </w:rPr>
        <w:t>响应</w:t>
      </w:r>
      <w:r>
        <w:rPr>
          <w:rFonts w:hAnsi="宋体"/>
          <w:color w:val="auto"/>
          <w:sz w:val="24"/>
        </w:rPr>
        <w:t>文件的范围或者改变</w:t>
      </w:r>
      <w:r>
        <w:rPr>
          <w:rFonts w:hint="eastAsia" w:hAnsi="宋体"/>
          <w:color w:val="auto"/>
          <w:sz w:val="24"/>
        </w:rPr>
        <w:t>响应</w:t>
      </w:r>
      <w:r>
        <w:rPr>
          <w:rFonts w:hAnsi="宋体"/>
          <w:color w:val="auto"/>
          <w:sz w:val="24"/>
        </w:rPr>
        <w:t>文件的实质性内容。修正后的报价经</w:t>
      </w:r>
      <w:r>
        <w:rPr>
          <w:rFonts w:hint="eastAsia" w:hAnsi="宋体"/>
          <w:color w:val="auto"/>
          <w:sz w:val="24"/>
        </w:rPr>
        <w:t>响应</w:t>
      </w:r>
      <w:r>
        <w:rPr>
          <w:rFonts w:hAnsi="宋体"/>
          <w:color w:val="auto"/>
          <w:sz w:val="24"/>
        </w:rPr>
        <w:t>人确认后产生约束力，</w:t>
      </w:r>
      <w:r>
        <w:rPr>
          <w:rFonts w:hint="eastAsia" w:hAnsi="宋体"/>
          <w:color w:val="auto"/>
          <w:sz w:val="24"/>
        </w:rPr>
        <w:t>响应</w:t>
      </w:r>
      <w:r>
        <w:rPr>
          <w:rFonts w:hAnsi="宋体"/>
          <w:color w:val="auto"/>
          <w:sz w:val="24"/>
        </w:rPr>
        <w:t>人不确认的，其</w:t>
      </w:r>
      <w:r>
        <w:rPr>
          <w:rFonts w:hint="eastAsia" w:hAnsi="宋体"/>
          <w:color w:val="auto"/>
          <w:sz w:val="24"/>
        </w:rPr>
        <w:t>响应</w:t>
      </w:r>
      <w:r>
        <w:rPr>
          <w:rFonts w:hAnsi="宋体"/>
          <w:color w:val="auto"/>
          <w:sz w:val="24"/>
        </w:rPr>
        <w:t>无效。</w:t>
      </w:r>
    </w:p>
    <w:p w14:paraId="5C55836C">
      <w:pPr>
        <w:pStyle w:val="23"/>
        <w:spacing w:line="480" w:lineRule="exact"/>
        <w:ind w:firstLine="480" w:firstLineChars="200"/>
        <w:rPr>
          <w:rFonts w:hint="eastAsia" w:hAnsi="宋体"/>
          <w:color w:val="auto"/>
          <w:sz w:val="24"/>
          <w:szCs w:val="24"/>
        </w:rPr>
      </w:pPr>
      <w:r>
        <w:rPr>
          <w:rFonts w:hint="eastAsia" w:hAnsi="宋体"/>
          <w:color w:val="auto"/>
          <w:sz w:val="24"/>
          <w:szCs w:val="24"/>
        </w:rPr>
        <w:t>（2）价格评分：取满足</w:t>
      </w:r>
      <w:r>
        <w:rPr>
          <w:rFonts w:hint="eastAsia" w:hAnsi="宋体"/>
          <w:color w:val="auto"/>
          <w:sz w:val="24"/>
          <w:szCs w:val="24"/>
          <w:lang w:val="en-US" w:eastAsia="zh-CN"/>
        </w:rPr>
        <w:t>遴选</w:t>
      </w:r>
      <w:r>
        <w:rPr>
          <w:rFonts w:hint="eastAsia" w:hAnsi="宋体"/>
          <w:color w:val="auto"/>
          <w:sz w:val="24"/>
          <w:szCs w:val="24"/>
        </w:rPr>
        <w:t>文件要求且</w:t>
      </w:r>
      <w:r>
        <w:rPr>
          <w:rFonts w:hint="eastAsia" w:hAnsi="宋体"/>
          <w:color w:val="auto"/>
          <w:sz w:val="24"/>
        </w:rPr>
        <w:t>最低报价</w:t>
      </w:r>
      <w:r>
        <w:rPr>
          <w:rFonts w:hint="eastAsia" w:hAnsi="宋体"/>
          <w:color w:val="auto"/>
          <w:sz w:val="24"/>
          <w:szCs w:val="24"/>
        </w:rPr>
        <w:t>作为</w:t>
      </w:r>
      <w:r>
        <w:rPr>
          <w:rFonts w:hint="eastAsia" w:hAnsi="宋体"/>
          <w:color w:val="auto"/>
          <w:sz w:val="24"/>
        </w:rPr>
        <w:t>基准价</w:t>
      </w:r>
      <w:r>
        <w:rPr>
          <w:rFonts w:hint="eastAsia" w:hAnsi="宋体"/>
          <w:color w:val="auto"/>
          <w:sz w:val="24"/>
          <w:szCs w:val="24"/>
        </w:rPr>
        <w:t>，</w:t>
      </w:r>
      <w:r>
        <w:rPr>
          <w:rFonts w:hint="eastAsia" w:hAnsi="宋体"/>
          <w:color w:val="auto"/>
          <w:sz w:val="24"/>
        </w:rPr>
        <w:t>定基准价</w:t>
      </w:r>
      <w:r>
        <w:rPr>
          <w:rFonts w:hint="eastAsia" w:hAnsi="宋体"/>
          <w:color w:val="auto"/>
          <w:sz w:val="24"/>
          <w:szCs w:val="24"/>
        </w:rPr>
        <w:t>的价格评分为</w:t>
      </w:r>
      <w:r>
        <w:rPr>
          <w:rFonts w:hint="eastAsia" w:hAnsi="宋体"/>
          <w:color w:val="auto"/>
          <w:sz w:val="24"/>
          <w:szCs w:val="24"/>
          <w:lang w:val="en-US" w:eastAsia="zh-CN"/>
        </w:rPr>
        <w:t>30</w:t>
      </w:r>
      <w:r>
        <w:rPr>
          <w:rFonts w:hint="eastAsia" w:hAnsi="宋体"/>
          <w:color w:val="auto"/>
          <w:sz w:val="24"/>
          <w:szCs w:val="24"/>
        </w:rPr>
        <w:t>分。其他响应人的价格分按照下列公式计算：</w:t>
      </w:r>
    </w:p>
    <w:p w14:paraId="6DF0F5BF">
      <w:pPr>
        <w:pStyle w:val="23"/>
        <w:spacing w:line="480" w:lineRule="exact"/>
        <w:ind w:firstLine="480" w:firstLineChars="200"/>
        <w:rPr>
          <w:rFonts w:hint="eastAsia" w:hAnsi="宋体"/>
          <w:color w:val="auto"/>
          <w:sz w:val="24"/>
          <w:szCs w:val="24"/>
        </w:rPr>
      </w:pPr>
      <w:r>
        <w:rPr>
          <w:rFonts w:hint="eastAsia" w:hAnsi="宋体"/>
          <w:color w:val="auto"/>
          <w:sz w:val="24"/>
          <w:szCs w:val="24"/>
        </w:rPr>
        <w:t>报价得分＝（基准价/</w:t>
      </w:r>
      <w:r>
        <w:rPr>
          <w:rFonts w:hint="eastAsia" w:hAnsi="宋体"/>
          <w:color w:val="auto"/>
          <w:sz w:val="24"/>
          <w:szCs w:val="24"/>
          <w:lang w:val="en-US" w:eastAsia="zh-CN"/>
        </w:rPr>
        <w:t>有效</w:t>
      </w:r>
      <w:r>
        <w:rPr>
          <w:rFonts w:hint="eastAsia" w:hAnsi="宋体"/>
          <w:color w:val="auto"/>
          <w:sz w:val="24"/>
          <w:szCs w:val="24"/>
        </w:rPr>
        <w:t>报价）×</w:t>
      </w:r>
      <w:r>
        <w:rPr>
          <w:rFonts w:hint="eastAsia" w:hAnsi="宋体"/>
          <w:color w:val="auto"/>
          <w:sz w:val="24"/>
          <w:szCs w:val="24"/>
          <w:lang w:val="en-US" w:eastAsia="zh-CN"/>
        </w:rPr>
        <w:t>30</w:t>
      </w:r>
      <w:r>
        <w:rPr>
          <w:rFonts w:hint="eastAsia" w:hAnsi="宋体"/>
          <w:color w:val="auto"/>
          <w:sz w:val="24"/>
          <w:szCs w:val="24"/>
        </w:rPr>
        <w:t>。</w:t>
      </w:r>
    </w:p>
    <w:p w14:paraId="358CE9EA">
      <w:pPr>
        <w:pStyle w:val="23"/>
        <w:spacing w:line="480" w:lineRule="exact"/>
        <w:ind w:firstLine="360" w:firstLineChars="150"/>
        <w:rPr>
          <w:rFonts w:hint="eastAsia" w:hAnsi="宋体"/>
          <w:color w:val="auto"/>
          <w:sz w:val="24"/>
        </w:rPr>
      </w:pPr>
      <w:r>
        <w:rPr>
          <w:rFonts w:hint="eastAsia" w:hAnsi="宋体"/>
          <w:color w:val="auto"/>
          <w:sz w:val="24"/>
          <w:szCs w:val="24"/>
        </w:rPr>
        <w:t>（3）价格评定得分=报价得分。</w:t>
      </w:r>
    </w:p>
    <w:p w14:paraId="5946F745">
      <w:pPr>
        <w:pStyle w:val="23"/>
        <w:numPr>
          <w:ilvl w:val="0"/>
          <w:numId w:val="0"/>
        </w:numPr>
        <w:tabs>
          <w:tab w:val="left" w:pos="945"/>
        </w:tabs>
        <w:spacing w:line="480" w:lineRule="exact"/>
        <w:ind w:leftChars="200"/>
        <w:rPr>
          <w:rFonts w:hint="eastAsia" w:hAnsi="宋体"/>
          <w:color w:val="auto"/>
          <w:sz w:val="24"/>
        </w:rPr>
      </w:pPr>
      <w:r>
        <w:rPr>
          <w:rFonts w:hint="eastAsia" w:hAnsi="宋体"/>
          <w:color w:val="auto"/>
          <w:sz w:val="24"/>
          <w:lang w:eastAsia="zh-CN"/>
        </w:rPr>
        <w:t>（</w:t>
      </w:r>
      <w:r>
        <w:rPr>
          <w:rFonts w:hint="eastAsia" w:hAnsi="宋体"/>
          <w:color w:val="auto"/>
          <w:sz w:val="24"/>
          <w:lang w:val="en-US" w:eastAsia="zh-CN"/>
        </w:rPr>
        <w:t>四</w:t>
      </w:r>
      <w:r>
        <w:rPr>
          <w:rFonts w:hint="eastAsia" w:hAnsi="宋体"/>
          <w:color w:val="auto"/>
          <w:sz w:val="24"/>
          <w:lang w:eastAsia="zh-CN"/>
        </w:rPr>
        <w:t>）</w:t>
      </w:r>
      <w:r>
        <w:rPr>
          <w:rFonts w:hint="eastAsia" w:hAnsi="宋体"/>
          <w:color w:val="auto"/>
          <w:sz w:val="24"/>
        </w:rPr>
        <w:t>综合评估分的计算</w:t>
      </w:r>
    </w:p>
    <w:p w14:paraId="460D4D4E">
      <w:pPr>
        <w:pStyle w:val="23"/>
        <w:spacing w:line="480" w:lineRule="exact"/>
        <w:ind w:firstLine="360" w:firstLineChars="150"/>
        <w:rPr>
          <w:rFonts w:hint="eastAsia" w:hAnsi="宋体"/>
          <w:color w:val="auto"/>
          <w:sz w:val="24"/>
          <w:szCs w:val="24"/>
        </w:rPr>
      </w:pPr>
      <w:r>
        <w:rPr>
          <w:rFonts w:hint="eastAsia" w:hAnsi="宋体"/>
          <w:color w:val="auto"/>
          <w:sz w:val="24"/>
          <w:szCs w:val="24"/>
        </w:rPr>
        <w:t>（1）综合评估分=技术评定得分+商务评定得分+价格评定得分；</w:t>
      </w:r>
    </w:p>
    <w:p w14:paraId="04998189">
      <w:pPr>
        <w:pStyle w:val="23"/>
        <w:spacing w:line="480" w:lineRule="exact"/>
        <w:ind w:firstLine="360" w:firstLineChars="150"/>
        <w:rPr>
          <w:rFonts w:hint="eastAsia" w:hAnsi="宋体"/>
          <w:color w:val="auto"/>
          <w:sz w:val="24"/>
          <w:szCs w:val="24"/>
        </w:rPr>
      </w:pPr>
      <w:r>
        <w:rPr>
          <w:rFonts w:hint="eastAsia" w:hAnsi="宋体"/>
          <w:color w:val="auto"/>
          <w:sz w:val="24"/>
          <w:szCs w:val="24"/>
        </w:rPr>
        <w:t>（2）</w:t>
      </w:r>
      <w:r>
        <w:rPr>
          <w:rFonts w:hint="eastAsia" w:hAnsi="宋体"/>
          <w:color w:val="auto"/>
          <w:sz w:val="24"/>
        </w:rPr>
        <w:t>在评审过程中所有计算结果均精确到小数点后两位，第三位小数四舍五入</w:t>
      </w:r>
      <w:r>
        <w:rPr>
          <w:rFonts w:hint="eastAsia" w:hAnsi="宋体"/>
          <w:color w:val="auto"/>
          <w:sz w:val="24"/>
          <w:szCs w:val="24"/>
        </w:rPr>
        <w:t>；</w:t>
      </w:r>
    </w:p>
    <w:p w14:paraId="704F9C65">
      <w:pPr>
        <w:pStyle w:val="23"/>
        <w:spacing w:line="480" w:lineRule="exact"/>
        <w:ind w:firstLine="360" w:firstLineChars="150"/>
        <w:rPr>
          <w:sz w:val="36"/>
          <w:szCs w:val="28"/>
        </w:rPr>
      </w:pPr>
      <w:r>
        <w:rPr>
          <w:rFonts w:hint="eastAsia" w:hAnsi="宋体"/>
          <w:color w:val="auto"/>
          <w:sz w:val="24"/>
          <w:szCs w:val="24"/>
        </w:rPr>
        <w:t>（3）</w:t>
      </w:r>
      <w:r>
        <w:rPr>
          <w:rFonts w:hint="eastAsia" w:hAnsi="宋体"/>
          <w:color w:val="auto"/>
          <w:sz w:val="24"/>
        </w:rPr>
        <w:t>将综合评估分从高到低排出名次，总分第一名为第一成交候选供应商，第二名为第二成交候选供应商，以此类推（综合评估分相同的，按报价由低到高顺序排列。综合评估分且报价相同的，按技术指标优劣顺序排列）</w:t>
      </w:r>
      <w:r>
        <w:rPr>
          <w:rFonts w:hint="eastAsia" w:hAnsi="宋体"/>
          <w:color w:val="auto"/>
          <w:sz w:val="24"/>
          <w:szCs w:val="24"/>
        </w:rPr>
        <w:t>。</w:t>
      </w:r>
      <w:r>
        <w:rPr>
          <w:rFonts w:hint="eastAsia" w:hAnsi="宋体"/>
          <w:color w:val="auto"/>
          <w:sz w:val="24"/>
          <w:lang w:val="en-US" w:eastAsia="zh-CN"/>
        </w:rPr>
        <w:t>评审</w:t>
      </w:r>
      <w:r>
        <w:rPr>
          <w:rFonts w:hint="eastAsia" w:hAnsi="宋体" w:cs="宋体"/>
          <w:b/>
          <w:color w:val="auto"/>
          <w:sz w:val="24"/>
        </w:rPr>
        <w:t>小组根据评审情况推荐成交候选供应商，开平市中心医院从成交候选供应商名单中确定</w:t>
      </w:r>
      <w:bookmarkStart w:id="155" w:name="_Hlk18301305"/>
      <w:r>
        <w:rPr>
          <w:rFonts w:hint="eastAsia" w:hAnsi="宋体" w:cs="宋体"/>
          <w:b/>
          <w:color w:val="auto"/>
          <w:sz w:val="24"/>
          <w:u w:val="single"/>
        </w:rPr>
        <w:t>1家</w:t>
      </w:r>
      <w:bookmarkEnd w:id="155"/>
      <w:r>
        <w:rPr>
          <w:rFonts w:hint="eastAsia" w:hAnsi="宋体" w:cs="宋体"/>
          <w:b/>
          <w:color w:val="auto"/>
          <w:sz w:val="24"/>
        </w:rPr>
        <w:t>成交供应</w:t>
      </w:r>
      <w:r>
        <w:rPr>
          <w:rFonts w:hint="eastAsia" w:hAnsi="宋体" w:cs="宋体"/>
          <w:b/>
          <w:color w:val="auto"/>
          <w:sz w:val="24"/>
          <w:szCs w:val="22"/>
        </w:rPr>
        <w:t>商。</w:t>
      </w:r>
      <w:r>
        <w:rPr>
          <w:sz w:val="36"/>
          <w:szCs w:val="28"/>
        </w:rPr>
        <w:br w:type="page"/>
      </w:r>
    </w:p>
    <w:p w14:paraId="61F449FF">
      <w:pPr>
        <w:spacing w:line="360" w:lineRule="auto"/>
        <w:ind w:firstLine="720" w:firstLineChars="200"/>
        <w:rPr>
          <w:sz w:val="36"/>
          <w:szCs w:val="28"/>
        </w:rPr>
      </w:pPr>
    </w:p>
    <w:p w14:paraId="111A28EC">
      <w:pPr>
        <w:pStyle w:val="3"/>
        <w:keepNext w:val="0"/>
        <w:keepLines w:val="0"/>
        <w:spacing w:before="0" w:after="0" w:line="360" w:lineRule="auto"/>
        <w:jc w:val="center"/>
        <w:rPr>
          <w:rFonts w:ascii="Times New Roman"/>
          <w:sz w:val="36"/>
          <w:szCs w:val="28"/>
        </w:rPr>
      </w:pPr>
      <w:bookmarkStart w:id="156" w:name="_Toc169861824"/>
      <w:r>
        <w:rPr>
          <w:rFonts w:ascii="Times New Roman"/>
          <w:sz w:val="36"/>
          <w:szCs w:val="28"/>
        </w:rPr>
        <w:t>第</w:t>
      </w:r>
      <w:r>
        <w:rPr>
          <w:rFonts w:hint="eastAsia" w:ascii="Times New Roman"/>
          <w:sz w:val="36"/>
          <w:szCs w:val="28"/>
          <w:lang w:val="en-US" w:eastAsia="zh-CN"/>
        </w:rPr>
        <w:t>四</w:t>
      </w:r>
      <w:r>
        <w:rPr>
          <w:rFonts w:ascii="Times New Roman"/>
          <w:sz w:val="36"/>
          <w:szCs w:val="28"/>
        </w:rPr>
        <w:t>部分</w:t>
      </w:r>
      <w:bookmarkEnd w:id="144"/>
      <w:bookmarkEnd w:id="145"/>
      <w:bookmarkEnd w:id="146"/>
      <w:bookmarkEnd w:id="147"/>
      <w:bookmarkEnd w:id="148"/>
      <w:bookmarkStart w:id="157" w:name="_Toc51939458"/>
      <w:bookmarkStart w:id="158" w:name="_Toc52021540"/>
      <w:bookmarkStart w:id="159" w:name="_Toc56353013"/>
      <w:bookmarkStart w:id="160" w:name="_Toc231028109"/>
      <w:bookmarkStart w:id="161" w:name="_Toc52027928"/>
      <w:bookmarkStart w:id="162" w:name="_Toc51756493"/>
      <w:r>
        <w:rPr>
          <w:rFonts w:hint="eastAsia" w:ascii="Times New Roman"/>
          <w:sz w:val="36"/>
          <w:szCs w:val="28"/>
        </w:rPr>
        <w:t xml:space="preserve"> 合同</w:t>
      </w:r>
      <w:r>
        <w:rPr>
          <w:rFonts w:ascii="Times New Roman"/>
          <w:sz w:val="36"/>
          <w:szCs w:val="28"/>
        </w:rPr>
        <w:t>书格式</w:t>
      </w:r>
      <w:bookmarkEnd w:id="156"/>
      <w:bookmarkEnd w:id="157"/>
      <w:bookmarkEnd w:id="158"/>
      <w:bookmarkEnd w:id="159"/>
      <w:bookmarkEnd w:id="160"/>
      <w:bookmarkEnd w:id="161"/>
      <w:bookmarkEnd w:id="162"/>
    </w:p>
    <w:p w14:paraId="6BBC5512">
      <w:pPr>
        <w:spacing w:line="360" w:lineRule="auto"/>
        <w:jc w:val="center"/>
        <w:outlineLvl w:val="1"/>
        <w:rPr>
          <w:rFonts w:ascii="宋体" w:hAnsi="宋体" w:eastAsia="宋体"/>
          <w:sz w:val="36"/>
        </w:rPr>
      </w:pPr>
      <w:r>
        <w:rPr>
          <w:rFonts w:hint="eastAsia" w:ascii="宋体" w:hAnsi="宋体" w:eastAsia="宋体"/>
          <w:b/>
          <w:bCs/>
          <w:sz w:val="36"/>
        </w:rPr>
        <w:t>（</w:t>
      </w:r>
      <w:r>
        <w:rPr>
          <w:rFonts w:hint="eastAsia" w:eastAsia="宋体"/>
          <w:b/>
          <w:kern w:val="44"/>
          <w:sz w:val="36"/>
          <w:szCs w:val="28"/>
        </w:rPr>
        <w:t>提供参考，具体内容由发包人及承包人协商制定）</w:t>
      </w:r>
    </w:p>
    <w:bookmarkEnd w:id="149"/>
    <w:bookmarkEnd w:id="150"/>
    <w:bookmarkEnd w:id="151"/>
    <w:bookmarkEnd w:id="152"/>
    <w:bookmarkEnd w:id="153"/>
    <w:bookmarkEnd w:id="154"/>
    <w:p w14:paraId="7F3B997F">
      <w:pPr>
        <w:widowControl/>
        <w:jc w:val="center"/>
        <w:rPr>
          <w:rFonts w:hint="eastAsia" w:ascii="宋体" w:hAnsi="宋体" w:eastAsia="宋体" w:cs="宋体"/>
          <w:b/>
          <w:bCs/>
          <w:kern w:val="0"/>
          <w:sz w:val="36"/>
          <w:szCs w:val="36"/>
        </w:rPr>
      </w:pPr>
      <w:bookmarkStart w:id="163" w:name="_Toc463071832"/>
      <w:bookmarkStart w:id="164" w:name="_Toc130745579"/>
      <w:bookmarkStart w:id="165" w:name="_Toc206902161"/>
      <w:bookmarkStart w:id="166" w:name="_Toc463071379"/>
      <w:bookmarkStart w:id="167" w:name="_Toc465148449"/>
      <w:bookmarkStart w:id="168" w:name="_Toc179863374"/>
      <w:bookmarkStart w:id="169" w:name="_Toc463067548"/>
      <w:bookmarkStart w:id="170" w:name="_Toc130700696"/>
      <w:bookmarkStart w:id="171" w:name="_Toc525038118"/>
      <w:bookmarkStart w:id="172" w:name="_Toc68692538"/>
      <w:bookmarkStart w:id="173" w:name="_Toc56353015"/>
      <w:bookmarkStart w:id="174" w:name="_Toc51939472"/>
      <w:bookmarkStart w:id="175" w:name="_Toc52027930"/>
      <w:bookmarkStart w:id="176" w:name="_Toc52021542"/>
      <w:bookmarkStart w:id="177" w:name="_Toc51756507"/>
      <w:bookmarkStart w:id="178" w:name="_Toc467236767"/>
      <w:bookmarkStart w:id="179" w:name="_Toc454701404"/>
      <w:bookmarkStart w:id="180" w:name="_Toc486671571"/>
      <w:bookmarkStart w:id="181" w:name="_Toc476976199"/>
      <w:bookmarkStart w:id="182" w:name="_Toc458262637"/>
      <w:r>
        <w:br w:type="page"/>
      </w:r>
      <w:bookmarkStart w:id="183" w:name="_Toc78354640"/>
      <w:r>
        <w:rPr>
          <w:rFonts w:hint="eastAsia" w:ascii="宋体" w:hAnsi="宋体" w:eastAsia="宋体" w:cs="宋体"/>
          <w:b/>
          <w:bCs/>
          <w:color w:val="auto"/>
          <w:kern w:val="0"/>
          <w:sz w:val="44"/>
          <w:szCs w:val="44"/>
          <w:lang w:eastAsia="zh-CN"/>
        </w:rPr>
        <w:t>开平市中心医院病案密集架采购项目</w:t>
      </w:r>
      <w:r>
        <w:rPr>
          <w:rFonts w:hint="eastAsia" w:ascii="宋体" w:hAnsi="宋体" w:eastAsia="宋体" w:cs="宋体"/>
          <w:b/>
          <w:bCs/>
          <w:color w:val="auto"/>
          <w:kern w:val="0"/>
          <w:sz w:val="44"/>
          <w:szCs w:val="44"/>
        </w:rPr>
        <w:t>购销合同</w:t>
      </w:r>
    </w:p>
    <w:p w14:paraId="438D29AC">
      <w:pPr>
        <w:autoSpaceDE w:val="0"/>
        <w:autoSpaceDN w:val="0"/>
        <w:adjustRightInd w:val="0"/>
        <w:spacing w:line="360" w:lineRule="auto"/>
        <w:ind w:firstLine="420" w:firstLineChars="200"/>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（合同模板）</w:t>
      </w:r>
    </w:p>
    <w:p w14:paraId="1AF9527E">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合同名称：</w:t>
      </w:r>
      <w:r>
        <w:rPr>
          <w:rFonts w:ascii="宋体" w:hAnsi="宋体" w:eastAsia="宋体" w:cs="宋体"/>
          <w:kern w:val="0"/>
          <w:sz w:val="24"/>
          <w:szCs w:val="24"/>
        </w:rPr>
        <w:t xml:space="preserve"> </w:t>
      </w:r>
    </w:p>
    <w:p w14:paraId="5C891C6A">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甲方：</w:t>
      </w:r>
      <w:r>
        <w:rPr>
          <w:rFonts w:ascii="宋体" w:hAnsi="宋体" w:eastAsia="宋体" w:cs="宋体"/>
          <w:kern w:val="0"/>
          <w:sz w:val="24"/>
          <w:szCs w:val="24"/>
        </w:rPr>
        <w:t xml:space="preserve"> </w:t>
      </w:r>
    </w:p>
    <w:p w14:paraId="2BA1BB82">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乙方：</w:t>
      </w:r>
      <w:r>
        <w:rPr>
          <w:rFonts w:ascii="宋体" w:hAnsi="宋体" w:eastAsia="宋体" w:cs="宋体"/>
          <w:kern w:val="0"/>
          <w:sz w:val="24"/>
          <w:szCs w:val="24"/>
        </w:rPr>
        <w:t xml:space="preserve"> </w:t>
      </w:r>
    </w:p>
    <w:p w14:paraId="1C6D43C6">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宋体"/>
          <w:kern w:val="0"/>
          <w:sz w:val="24"/>
          <w:szCs w:val="24"/>
        </w:rPr>
        <w:t>合同金额</w:t>
      </w:r>
      <w:r>
        <w:rPr>
          <w:rFonts w:ascii="宋体" w:hAnsi="宋体" w:eastAsia="宋体" w:cs="DejaVuSans"/>
          <w:kern w:val="0"/>
          <w:sz w:val="24"/>
          <w:szCs w:val="24"/>
        </w:rPr>
        <w:t>(</w:t>
      </w:r>
      <w:r>
        <w:rPr>
          <w:rFonts w:hint="eastAsia" w:ascii="宋体" w:hAnsi="宋体" w:eastAsia="宋体" w:cs="宋体"/>
          <w:kern w:val="0"/>
          <w:sz w:val="24"/>
          <w:szCs w:val="24"/>
        </w:rPr>
        <w:t>元</w:t>
      </w:r>
      <w:r>
        <w:rPr>
          <w:rFonts w:ascii="宋体" w:hAnsi="宋体" w:eastAsia="宋体" w:cs="DejaVuSans"/>
          <w:kern w:val="0"/>
          <w:sz w:val="24"/>
          <w:szCs w:val="24"/>
        </w:rPr>
        <w:t>)</w:t>
      </w:r>
      <w:r>
        <w:rPr>
          <w:rFonts w:hint="eastAsia" w:ascii="宋体" w:hAnsi="宋体" w:eastAsia="宋体" w:cs="宋体"/>
          <w:kern w:val="0"/>
          <w:sz w:val="24"/>
          <w:szCs w:val="24"/>
        </w:rPr>
        <w:t>：</w:t>
      </w:r>
    </w:p>
    <w:p w14:paraId="296FEB32">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人民币大写：</w:t>
      </w:r>
      <w:r>
        <w:rPr>
          <w:rFonts w:ascii="宋体" w:hAnsi="宋体" w:eastAsia="宋体" w:cs="宋体"/>
          <w:kern w:val="0"/>
          <w:sz w:val="24"/>
          <w:szCs w:val="24"/>
        </w:rPr>
        <w:t xml:space="preserve"> </w:t>
      </w:r>
    </w:p>
    <w:p w14:paraId="55E27B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甲乙双方根据《中华人民共和国民法典》，在平等互利、协商一致的基础上，买方同意向卖方购买同时卖方同意授予买方以下货物：</w:t>
      </w:r>
    </w:p>
    <w:tbl>
      <w:tblPr>
        <w:tblStyle w:val="42"/>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155"/>
        <w:gridCol w:w="1440"/>
        <w:gridCol w:w="1943"/>
        <w:gridCol w:w="898"/>
        <w:gridCol w:w="898"/>
        <w:gridCol w:w="898"/>
        <w:gridCol w:w="898"/>
        <w:gridCol w:w="900"/>
      </w:tblGrid>
      <w:tr w14:paraId="5CAE2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1F62BD00">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155" w:type="dxa"/>
            <w:noWrap w:val="0"/>
            <w:vAlign w:val="center"/>
          </w:tcPr>
          <w:p w14:paraId="41CE997A">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产品</w:t>
            </w:r>
          </w:p>
          <w:p w14:paraId="53A9316E">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名称</w:t>
            </w:r>
          </w:p>
        </w:tc>
        <w:tc>
          <w:tcPr>
            <w:tcW w:w="3383" w:type="dxa"/>
            <w:gridSpan w:val="2"/>
            <w:noWrap w:val="0"/>
            <w:vAlign w:val="center"/>
          </w:tcPr>
          <w:p w14:paraId="0B33CE84">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产品</w:t>
            </w:r>
            <w:r>
              <w:rPr>
                <w:rFonts w:hint="eastAsia" w:ascii="宋体" w:hAnsi="宋体" w:eastAsia="宋体" w:cs="宋体"/>
                <w:color w:val="000000"/>
                <w:sz w:val="24"/>
                <w:szCs w:val="24"/>
                <w:lang w:val="en-US" w:eastAsia="zh-CN"/>
              </w:rPr>
              <w:t>图片</w:t>
            </w:r>
          </w:p>
        </w:tc>
        <w:tc>
          <w:tcPr>
            <w:tcW w:w="898" w:type="dxa"/>
            <w:noWrap w:val="0"/>
            <w:vAlign w:val="center"/>
          </w:tcPr>
          <w:p w14:paraId="3BF25F55">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产品参数</w:t>
            </w:r>
          </w:p>
        </w:tc>
        <w:tc>
          <w:tcPr>
            <w:tcW w:w="898" w:type="dxa"/>
            <w:noWrap w:val="0"/>
            <w:vAlign w:val="center"/>
          </w:tcPr>
          <w:p w14:paraId="365BD560">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数量</w:t>
            </w:r>
          </w:p>
        </w:tc>
        <w:tc>
          <w:tcPr>
            <w:tcW w:w="898" w:type="dxa"/>
            <w:noWrap w:val="0"/>
            <w:vAlign w:val="center"/>
          </w:tcPr>
          <w:p w14:paraId="1D733312">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单位</w:t>
            </w:r>
          </w:p>
        </w:tc>
        <w:tc>
          <w:tcPr>
            <w:tcW w:w="898" w:type="dxa"/>
            <w:noWrap w:val="0"/>
            <w:vAlign w:val="center"/>
          </w:tcPr>
          <w:p w14:paraId="2DA65B0F">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单价（元）</w:t>
            </w:r>
          </w:p>
        </w:tc>
        <w:tc>
          <w:tcPr>
            <w:tcW w:w="900" w:type="dxa"/>
            <w:noWrap w:val="0"/>
            <w:vAlign w:val="center"/>
          </w:tcPr>
          <w:p w14:paraId="6685EB65">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合计（元）</w:t>
            </w:r>
          </w:p>
        </w:tc>
      </w:tr>
      <w:tr w14:paraId="57F0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738" w:type="dxa"/>
            <w:noWrap w:val="0"/>
            <w:vAlign w:val="center"/>
          </w:tcPr>
          <w:p w14:paraId="50383B0F">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155" w:type="dxa"/>
            <w:noWrap w:val="0"/>
            <w:vAlign w:val="center"/>
          </w:tcPr>
          <w:p w14:paraId="29A49322">
            <w:pPr>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无障碍电梯</w:t>
            </w:r>
          </w:p>
        </w:tc>
        <w:tc>
          <w:tcPr>
            <w:tcW w:w="3383" w:type="dxa"/>
            <w:gridSpan w:val="2"/>
            <w:noWrap w:val="0"/>
            <w:vAlign w:val="center"/>
          </w:tcPr>
          <w:p w14:paraId="729477A3">
            <w:pPr>
              <w:spacing w:line="360" w:lineRule="auto"/>
              <w:jc w:val="center"/>
              <w:rPr>
                <w:rFonts w:hint="eastAsia" w:ascii="宋体" w:hAnsi="宋体" w:eastAsia="宋体" w:cs="宋体"/>
                <w:color w:val="000000"/>
                <w:sz w:val="24"/>
                <w:szCs w:val="24"/>
              </w:rPr>
            </w:pPr>
          </w:p>
        </w:tc>
        <w:tc>
          <w:tcPr>
            <w:tcW w:w="898" w:type="dxa"/>
            <w:noWrap w:val="0"/>
            <w:vAlign w:val="center"/>
          </w:tcPr>
          <w:p w14:paraId="317B96C8">
            <w:pPr>
              <w:spacing w:line="360" w:lineRule="auto"/>
              <w:jc w:val="center"/>
              <w:rPr>
                <w:rFonts w:hint="eastAsia" w:ascii="宋体" w:hAnsi="宋体" w:eastAsia="宋体" w:cs="宋体"/>
                <w:color w:val="000000"/>
                <w:sz w:val="24"/>
                <w:szCs w:val="24"/>
              </w:rPr>
            </w:pPr>
          </w:p>
        </w:tc>
        <w:tc>
          <w:tcPr>
            <w:tcW w:w="898" w:type="dxa"/>
            <w:noWrap w:val="0"/>
            <w:vAlign w:val="center"/>
          </w:tcPr>
          <w:p w14:paraId="0167D2EB">
            <w:pPr>
              <w:spacing w:line="360" w:lineRule="auto"/>
              <w:jc w:val="center"/>
              <w:rPr>
                <w:rFonts w:hint="eastAsia" w:ascii="宋体" w:hAnsi="宋体" w:eastAsia="宋体" w:cs="宋体"/>
                <w:color w:val="000000"/>
                <w:sz w:val="24"/>
                <w:szCs w:val="24"/>
              </w:rPr>
            </w:pPr>
          </w:p>
        </w:tc>
        <w:tc>
          <w:tcPr>
            <w:tcW w:w="898" w:type="dxa"/>
            <w:noWrap w:val="0"/>
            <w:vAlign w:val="center"/>
          </w:tcPr>
          <w:p w14:paraId="3D14BDD0">
            <w:pPr>
              <w:spacing w:line="360" w:lineRule="auto"/>
              <w:jc w:val="center"/>
              <w:rPr>
                <w:rFonts w:hint="eastAsia" w:ascii="宋体" w:hAnsi="宋体" w:eastAsia="宋体" w:cs="宋体"/>
                <w:color w:val="000000"/>
                <w:sz w:val="24"/>
                <w:szCs w:val="24"/>
              </w:rPr>
            </w:pPr>
          </w:p>
        </w:tc>
        <w:tc>
          <w:tcPr>
            <w:tcW w:w="898" w:type="dxa"/>
            <w:noWrap w:val="0"/>
            <w:vAlign w:val="center"/>
          </w:tcPr>
          <w:p w14:paraId="2D35E4B2">
            <w:pPr>
              <w:spacing w:line="360" w:lineRule="auto"/>
              <w:jc w:val="center"/>
              <w:rPr>
                <w:rFonts w:hint="eastAsia" w:ascii="宋体" w:hAnsi="宋体" w:eastAsia="宋体" w:cs="宋体"/>
                <w:color w:val="000000"/>
                <w:sz w:val="24"/>
                <w:szCs w:val="24"/>
              </w:rPr>
            </w:pPr>
          </w:p>
        </w:tc>
        <w:tc>
          <w:tcPr>
            <w:tcW w:w="900" w:type="dxa"/>
            <w:noWrap w:val="0"/>
            <w:vAlign w:val="center"/>
          </w:tcPr>
          <w:p w14:paraId="509D5CA7">
            <w:pPr>
              <w:spacing w:line="360" w:lineRule="auto"/>
              <w:jc w:val="center"/>
              <w:rPr>
                <w:rFonts w:hint="eastAsia" w:ascii="宋体" w:hAnsi="宋体" w:eastAsia="宋体" w:cs="宋体"/>
                <w:color w:val="000000"/>
                <w:sz w:val="24"/>
                <w:szCs w:val="24"/>
              </w:rPr>
            </w:pPr>
          </w:p>
        </w:tc>
      </w:tr>
      <w:tr w14:paraId="0A93D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93" w:type="dxa"/>
            <w:gridSpan w:val="2"/>
            <w:noWrap w:val="0"/>
            <w:vAlign w:val="center"/>
          </w:tcPr>
          <w:p w14:paraId="4663CBE0">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交货期</w:t>
            </w:r>
          </w:p>
          <w:p w14:paraId="73833442">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（日历</w:t>
            </w:r>
            <w:r>
              <w:rPr>
                <w:rFonts w:hint="eastAsia" w:ascii="宋体" w:hAnsi="宋体" w:eastAsia="宋体" w:cs="宋体"/>
                <w:sz w:val="24"/>
                <w:szCs w:val="24"/>
                <w:lang w:val="en-US" w:eastAsia="zh-CN"/>
              </w:rPr>
              <w:t>日</w:t>
            </w:r>
            <w:r>
              <w:rPr>
                <w:rFonts w:hint="eastAsia" w:ascii="宋体" w:hAnsi="宋体" w:eastAsia="宋体" w:cs="宋体"/>
                <w:sz w:val="24"/>
                <w:szCs w:val="24"/>
              </w:rPr>
              <w:t>）</w:t>
            </w:r>
          </w:p>
        </w:tc>
        <w:tc>
          <w:tcPr>
            <w:tcW w:w="1440" w:type="dxa"/>
            <w:noWrap w:val="0"/>
            <w:vAlign w:val="center"/>
          </w:tcPr>
          <w:p w14:paraId="143DA91F">
            <w:pPr>
              <w:pStyle w:val="2"/>
              <w:spacing w:line="360" w:lineRule="auto"/>
              <w:jc w:val="center"/>
              <w:rPr>
                <w:rFonts w:hint="eastAsia" w:ascii="宋体" w:hAnsi="宋体" w:eastAsia="宋体" w:cs="宋体"/>
                <w:sz w:val="24"/>
                <w:szCs w:val="24"/>
              </w:rPr>
            </w:pPr>
          </w:p>
        </w:tc>
        <w:tc>
          <w:tcPr>
            <w:tcW w:w="1943" w:type="dxa"/>
            <w:noWrap w:val="0"/>
            <w:vAlign w:val="center"/>
          </w:tcPr>
          <w:p w14:paraId="4FF026AE">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交货地点</w:t>
            </w:r>
          </w:p>
        </w:tc>
        <w:tc>
          <w:tcPr>
            <w:tcW w:w="4492" w:type="dxa"/>
            <w:gridSpan w:val="5"/>
            <w:noWrap w:val="0"/>
            <w:vAlign w:val="center"/>
          </w:tcPr>
          <w:p w14:paraId="2C58F02D">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开平市中心医院指定地点</w:t>
            </w:r>
          </w:p>
        </w:tc>
      </w:tr>
      <w:tr w14:paraId="7A1C1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93" w:type="dxa"/>
            <w:gridSpan w:val="2"/>
            <w:noWrap w:val="0"/>
            <w:vAlign w:val="center"/>
          </w:tcPr>
          <w:p w14:paraId="5E28C90B">
            <w:pPr>
              <w:pStyle w:val="2"/>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tc>
        <w:tc>
          <w:tcPr>
            <w:tcW w:w="7875" w:type="dxa"/>
            <w:gridSpan w:val="7"/>
            <w:noWrap w:val="0"/>
            <w:vAlign w:val="center"/>
          </w:tcPr>
          <w:p w14:paraId="701CD0C9">
            <w:pPr>
              <w:spacing w:line="360" w:lineRule="auto"/>
              <w:jc w:val="center"/>
              <w:rPr>
                <w:rFonts w:hint="eastAsia" w:ascii="宋体" w:hAnsi="宋体" w:eastAsia="宋体" w:cs="宋体"/>
                <w:color w:val="000000"/>
                <w:sz w:val="24"/>
                <w:szCs w:val="24"/>
              </w:rPr>
            </w:pPr>
          </w:p>
        </w:tc>
      </w:tr>
    </w:tbl>
    <w:p w14:paraId="74A00E77">
      <w:pPr>
        <w:spacing w:line="360" w:lineRule="auto"/>
        <w:rPr>
          <w:rFonts w:hint="eastAsia" w:ascii="宋体" w:hAnsi="宋体" w:eastAsia="宋体" w:cs="宋体"/>
          <w:b/>
          <w:bCs/>
          <w:sz w:val="24"/>
          <w:szCs w:val="24"/>
        </w:rPr>
      </w:pPr>
    </w:p>
    <w:p w14:paraId="5205E2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合同服务期：</w:t>
      </w:r>
      <w:r>
        <w:rPr>
          <w:rFonts w:hint="eastAsia" w:ascii="宋体" w:hAnsi="宋体" w:eastAsia="宋体" w:cs="宋体"/>
          <w:bCs/>
          <w:sz w:val="24"/>
          <w:szCs w:val="24"/>
        </w:rPr>
        <w:t>202</w:t>
      </w:r>
      <w:r>
        <w:rPr>
          <w:rFonts w:hint="eastAsia" w:ascii="宋体" w:hAnsi="宋体" w:eastAsia="宋体" w:cs="宋体"/>
          <w:bCs/>
          <w:sz w:val="24"/>
          <w:szCs w:val="24"/>
          <w:lang w:val="en-US" w:eastAsia="zh-CN"/>
        </w:rPr>
        <w:t>5</w:t>
      </w:r>
      <w:r>
        <w:rPr>
          <w:rFonts w:hint="eastAsia" w:ascii="宋体" w:hAnsi="宋体" w:eastAsia="宋体" w:cs="宋体"/>
          <w:bCs/>
          <w:sz w:val="24"/>
          <w:szCs w:val="24"/>
        </w:rPr>
        <w:t>年   月   日至202</w:t>
      </w:r>
      <w:r>
        <w:rPr>
          <w:rFonts w:hint="eastAsia" w:ascii="宋体" w:hAnsi="宋体" w:eastAsia="宋体" w:cs="宋体"/>
          <w:bCs/>
          <w:sz w:val="24"/>
          <w:szCs w:val="24"/>
          <w:lang w:val="en-US" w:eastAsia="zh-CN"/>
        </w:rPr>
        <w:t>6</w:t>
      </w:r>
      <w:r>
        <w:rPr>
          <w:rFonts w:hint="eastAsia" w:ascii="宋体" w:hAnsi="宋体" w:eastAsia="宋体" w:cs="宋体"/>
          <w:bCs/>
          <w:sz w:val="24"/>
          <w:szCs w:val="24"/>
        </w:rPr>
        <w:t>年   月   日</w:t>
      </w:r>
    </w:p>
    <w:p w14:paraId="54609D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交付期：乙方接到甲方通知</w:t>
      </w:r>
      <w:r>
        <w:rPr>
          <w:rFonts w:hint="eastAsia" w:ascii="宋体" w:hAnsi="宋体" w:eastAsia="宋体" w:cs="宋体"/>
          <w:b/>
          <w:bCs/>
          <w:color w:val="auto"/>
          <w:sz w:val="24"/>
          <w:szCs w:val="24"/>
          <w:u w:val="single"/>
        </w:rPr>
        <w:t xml:space="preserve">    </w:t>
      </w:r>
      <w:r>
        <w:rPr>
          <w:rFonts w:hint="eastAsia" w:ascii="宋体" w:hAnsi="宋体" w:eastAsia="宋体" w:cs="宋体"/>
          <w:b/>
          <w:bCs/>
          <w:sz w:val="24"/>
          <w:szCs w:val="24"/>
        </w:rPr>
        <w:t>天内向甲方交付上述货物。</w:t>
      </w:r>
    </w:p>
    <w:p w14:paraId="28812A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运输、安装和验收</w:t>
      </w:r>
    </w:p>
    <w:p w14:paraId="3FDACA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 乙方确保货物安全无损地运抵甲方指定现场，并承担货物的运费、装卸费等费用。乙方还应在发货前通知甲方货物的运输信息以及到货时间，以便甲方做好验货准备。</w:t>
      </w:r>
    </w:p>
    <w:p w14:paraId="38B0CC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4.2甲乙双方对货物进行开箱清点检查验收，如果发现数量不足或有质量、技术等问题，乙方应</w:t>
      </w:r>
      <w:r>
        <w:rPr>
          <w:rFonts w:hint="eastAsia" w:ascii="宋体" w:hAnsi="宋体" w:eastAsia="宋体" w:cs="宋体"/>
          <w:color w:val="auto"/>
          <w:sz w:val="24"/>
          <w:szCs w:val="24"/>
        </w:rPr>
        <w:t>在</w:t>
      </w:r>
      <w:r>
        <w:rPr>
          <w:rFonts w:hint="eastAsia" w:ascii="宋体" w:hAnsi="宋体" w:eastAsia="宋体" w:cs="宋体"/>
          <w:color w:val="auto"/>
          <w:sz w:val="24"/>
          <w:szCs w:val="24"/>
          <w:u w:val="single"/>
        </w:rPr>
        <w:t>3</w:t>
      </w:r>
      <w:r>
        <w:rPr>
          <w:rFonts w:hint="eastAsia" w:ascii="宋体" w:hAnsi="宋体" w:eastAsia="宋体" w:cs="宋体"/>
          <w:color w:val="auto"/>
          <w:sz w:val="24"/>
          <w:szCs w:val="24"/>
        </w:rPr>
        <w:t>天</w:t>
      </w:r>
      <w:r>
        <w:rPr>
          <w:rFonts w:hint="eastAsia" w:ascii="宋体" w:hAnsi="宋体" w:eastAsia="宋体" w:cs="宋体"/>
          <w:sz w:val="24"/>
          <w:szCs w:val="24"/>
        </w:rPr>
        <w:t>内，按照甲方的要求，采取补足、更换或退货等处理措施，并承担由此发生的一切损失和费用。</w:t>
      </w:r>
    </w:p>
    <w:p w14:paraId="4ED76C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4.3甲、乙双方在符合国家相关技术标准的基础上，根据购置货物的技术标准以及采购或招标时乙方承诺的原厂的技术参数为标准对货物进行技术验收。</w:t>
      </w:r>
    </w:p>
    <w:p w14:paraId="5CCC5B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付款方式</w:t>
      </w:r>
    </w:p>
    <w:p w14:paraId="111A82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验收合格及正常使用</w:t>
      </w:r>
      <w:r>
        <w:rPr>
          <w:rFonts w:hint="eastAsia" w:ascii="宋体" w:hAnsi="宋体" w:eastAsia="宋体" w:cs="宋体"/>
          <w:sz w:val="24"/>
          <w:szCs w:val="24"/>
        </w:rPr>
        <w:t>后乙方应向甲方出具与货物总价金额相对应的发票。甲方在收到乙方发票并确认无误后，</w:t>
      </w:r>
      <w:r>
        <w:rPr>
          <w:rFonts w:hint="eastAsia" w:ascii="宋体" w:hAnsi="宋体" w:eastAsia="宋体" w:cs="宋体"/>
          <w:color w:val="000000"/>
          <w:sz w:val="24"/>
          <w:szCs w:val="24"/>
        </w:rPr>
        <w:t>应在</w:t>
      </w:r>
      <w:r>
        <w:rPr>
          <w:rFonts w:hint="eastAsia" w:ascii="宋体" w:hAnsi="宋体" w:eastAsia="宋体" w:cs="宋体"/>
          <w:color w:val="auto"/>
          <w:sz w:val="24"/>
          <w:szCs w:val="24"/>
          <w:u w:val="single"/>
        </w:rPr>
        <w:t>90个工作日</w:t>
      </w:r>
      <w:r>
        <w:rPr>
          <w:rFonts w:hint="eastAsia" w:ascii="宋体" w:hAnsi="宋体" w:eastAsia="宋体" w:cs="宋体"/>
          <w:color w:val="000000"/>
          <w:sz w:val="24"/>
          <w:szCs w:val="24"/>
        </w:rPr>
        <w:t>内以</w:t>
      </w:r>
      <w:r>
        <w:rPr>
          <w:rFonts w:hint="eastAsia" w:ascii="宋体" w:hAnsi="宋体" w:eastAsia="宋体" w:cs="宋体"/>
          <w:sz w:val="24"/>
          <w:szCs w:val="24"/>
        </w:rPr>
        <w:t>银行汇款方式向乙方指定银行账户一次性支付货款。</w:t>
      </w:r>
    </w:p>
    <w:p w14:paraId="4533DF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质量保证及售后服务</w:t>
      </w:r>
    </w:p>
    <w:p w14:paraId="29BD78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乙方应保证所供货物必须是正规渠道提供的的近一年出厂的、全新的、未使用过的，并符合国家有关标准、行业有关标准、制造厂标准及遴选响应文件技术要求。如果在甲方验收合格后，货物的质量或规格仍存在与合同不符，或证实货物是有缺陷的，包括潜在的缺陷或使用不符合要求的材料等，乙方应在接到甲方通知后</w:t>
      </w:r>
      <w:r>
        <w:rPr>
          <w:rFonts w:hint="eastAsia" w:ascii="宋体" w:hAnsi="宋体" w:eastAsia="宋体" w:cs="宋体"/>
          <w:color w:val="auto"/>
          <w:sz w:val="24"/>
          <w:szCs w:val="24"/>
          <w:u w:val="single"/>
        </w:rPr>
        <w:t>3</w:t>
      </w:r>
      <w:r>
        <w:rPr>
          <w:rFonts w:hint="eastAsia" w:ascii="宋体" w:hAnsi="宋体" w:eastAsia="宋体" w:cs="宋体"/>
          <w:color w:val="auto"/>
          <w:sz w:val="24"/>
          <w:szCs w:val="24"/>
        </w:rPr>
        <w:t>天</w:t>
      </w:r>
      <w:r>
        <w:rPr>
          <w:rFonts w:hint="eastAsia" w:ascii="宋体" w:hAnsi="宋体" w:eastAsia="宋体" w:cs="宋体"/>
          <w:sz w:val="24"/>
          <w:szCs w:val="24"/>
        </w:rPr>
        <w:t>内负责采用符合合同规定的规格、质量和性能要求的货物来更换有缺陷的部分，其费用由乙方负担。同时，乙方应按本合同规定，相应延长修补或更换件的质量保证期。</w:t>
      </w:r>
    </w:p>
    <w:p w14:paraId="16DF00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6.2乙方应提供质保期为</w:t>
      </w:r>
      <w:r>
        <w:rPr>
          <w:rFonts w:hint="eastAsia" w:ascii="宋体" w:hAnsi="宋体" w:eastAsia="宋体" w:cs="宋体"/>
          <w:sz w:val="24"/>
          <w:szCs w:val="24"/>
          <w:u w:val="single"/>
        </w:rPr>
        <w:t xml:space="preserve">   </w:t>
      </w:r>
      <w:r>
        <w:rPr>
          <w:rFonts w:hint="eastAsia" w:ascii="宋体" w:hAnsi="宋体" w:eastAsia="宋体" w:cs="宋体"/>
          <w:sz w:val="24"/>
          <w:szCs w:val="24"/>
        </w:rPr>
        <w:t>个月,</w:t>
      </w:r>
      <w:r>
        <w:rPr>
          <w:rFonts w:hint="eastAsia" w:ascii="宋体" w:hAnsi="宋体" w:eastAsia="宋体" w:cs="宋体"/>
          <w:sz w:val="24"/>
          <w:szCs w:val="24"/>
          <w:u w:val="single"/>
        </w:rPr>
        <w:t xml:space="preserve">   </w:t>
      </w:r>
      <w:r>
        <w:rPr>
          <w:rFonts w:hint="eastAsia" w:ascii="宋体" w:hAnsi="宋体" w:eastAsia="宋体" w:cs="宋体"/>
          <w:sz w:val="24"/>
          <w:szCs w:val="24"/>
        </w:rPr>
        <w:t>个月内出现质量问题，免费调换并承担换货造成的所有费用。质保期的期限应以甲乙双方的验收合格之日起计算。</w:t>
      </w:r>
    </w:p>
    <w:p w14:paraId="7BF09D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6.3无条件接受18号令的相关条款规定。</w:t>
      </w:r>
    </w:p>
    <w:p w14:paraId="41F00A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索赔条款</w:t>
      </w:r>
    </w:p>
    <w:p w14:paraId="423F8C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7.1如经国家相关部门检验确认货物不符合本合同约定，甲方有权选择下列方式之一要求乙方进行补救：</w:t>
      </w:r>
    </w:p>
    <w:p w14:paraId="045FC4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7.1.1同意甲方退货，及时为甲方办理退货手续，并将全额货款在货物被确认为不符合合同约定之日起</w:t>
      </w:r>
      <w:r>
        <w:rPr>
          <w:rFonts w:hint="eastAsia" w:ascii="宋体" w:hAnsi="宋体" w:eastAsia="宋体" w:cs="宋体"/>
          <w:color w:val="000000"/>
          <w:sz w:val="24"/>
          <w:szCs w:val="24"/>
          <w:u w:val="single"/>
        </w:rPr>
        <w:t>30</w:t>
      </w:r>
      <w:r>
        <w:rPr>
          <w:rFonts w:hint="eastAsia" w:ascii="宋体" w:hAnsi="宋体" w:eastAsia="宋体" w:cs="宋体"/>
          <w:sz w:val="24"/>
          <w:szCs w:val="24"/>
        </w:rPr>
        <w:t>日内偿还给甲方，并由乙方负担因退货而发生的一切直接损失和费用。</w:t>
      </w:r>
    </w:p>
    <w:p w14:paraId="1710CF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7.1.2按照货物的疵劣程度、损坏的范围和甲方所遭受的损失，乙方折价收取或在货物被确认为不符合同约定之日</w:t>
      </w:r>
      <w:r>
        <w:rPr>
          <w:rFonts w:hint="eastAsia" w:ascii="宋体" w:hAnsi="宋体" w:eastAsia="宋体" w:cs="宋体"/>
          <w:color w:val="000000"/>
          <w:sz w:val="24"/>
          <w:szCs w:val="24"/>
        </w:rPr>
        <w:t>起</w:t>
      </w:r>
      <w:r>
        <w:rPr>
          <w:rFonts w:hint="eastAsia" w:ascii="宋体" w:hAnsi="宋体" w:eastAsia="宋体" w:cs="宋体"/>
          <w:color w:val="000000"/>
          <w:sz w:val="24"/>
          <w:szCs w:val="24"/>
          <w:u w:val="single"/>
        </w:rPr>
        <w:t>30</w:t>
      </w:r>
      <w:r>
        <w:rPr>
          <w:rFonts w:hint="eastAsia" w:ascii="宋体" w:hAnsi="宋体" w:eastAsia="宋体" w:cs="宋体"/>
          <w:color w:val="000000"/>
          <w:sz w:val="24"/>
          <w:szCs w:val="24"/>
        </w:rPr>
        <w:t>日</w:t>
      </w:r>
      <w:r>
        <w:rPr>
          <w:rFonts w:hint="eastAsia" w:ascii="宋体" w:hAnsi="宋体" w:eastAsia="宋体" w:cs="宋体"/>
          <w:sz w:val="24"/>
          <w:szCs w:val="24"/>
        </w:rPr>
        <w:t>内向甲方返还已收取的部分货款。</w:t>
      </w:r>
    </w:p>
    <w:p w14:paraId="0056B1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7.1.3乙方应在货物被确认为不符合约定之日</w:t>
      </w:r>
      <w:r>
        <w:rPr>
          <w:rFonts w:hint="eastAsia" w:ascii="宋体" w:hAnsi="宋体" w:eastAsia="宋体" w:cs="宋体"/>
          <w:color w:val="000000"/>
          <w:sz w:val="24"/>
          <w:szCs w:val="24"/>
        </w:rPr>
        <w:t>起</w:t>
      </w:r>
      <w:r>
        <w:rPr>
          <w:rFonts w:hint="eastAsia" w:ascii="宋体" w:hAnsi="宋体" w:eastAsia="宋体" w:cs="宋体"/>
          <w:color w:val="000000"/>
          <w:sz w:val="24"/>
          <w:szCs w:val="24"/>
          <w:u w:val="single"/>
        </w:rPr>
        <w:t>3</w:t>
      </w:r>
      <w:r>
        <w:rPr>
          <w:rFonts w:hint="eastAsia" w:ascii="宋体" w:hAnsi="宋体" w:eastAsia="宋体" w:cs="宋体"/>
          <w:color w:val="000000"/>
          <w:sz w:val="24"/>
          <w:szCs w:val="24"/>
        </w:rPr>
        <w:t>日</w:t>
      </w:r>
      <w:r>
        <w:rPr>
          <w:rFonts w:hint="eastAsia" w:ascii="宋体" w:hAnsi="宋体" w:eastAsia="宋体" w:cs="宋体"/>
          <w:sz w:val="24"/>
          <w:szCs w:val="24"/>
        </w:rPr>
        <w:t>内调换有瑕疵的货物，换货必须全新并符合本合同规定的规格，质量和性能等，乙方并负责因此而产生的一切费用和甲方的一切直接损失。</w:t>
      </w:r>
    </w:p>
    <w:p w14:paraId="6380EF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7.2如果乙方没有按照合同规定的时间交货和提供服务，甲方应从货款中扣除误期赔偿费而不影响合同项下的其他补救办法。乙方发生延期交货和延期服务或延期退款的，每逾期一日按货物合同总价的千分之三向甲方支付赔偿金，直至交货或提供服务为止，但误期赔偿费的最高限额不超过合同价的百分之五（5%）。如乙方超过约定期限</w:t>
      </w:r>
      <w:r>
        <w:rPr>
          <w:rFonts w:hint="eastAsia" w:ascii="宋体" w:hAnsi="宋体" w:eastAsia="宋体" w:cs="宋体"/>
          <w:sz w:val="24"/>
          <w:szCs w:val="24"/>
          <w:u w:val="single"/>
        </w:rPr>
        <w:t>15</w:t>
      </w:r>
      <w:r>
        <w:rPr>
          <w:rFonts w:hint="eastAsia" w:ascii="宋体" w:hAnsi="宋体" w:eastAsia="宋体" w:cs="宋体"/>
          <w:sz w:val="24"/>
          <w:szCs w:val="24"/>
        </w:rPr>
        <w:t>天仍不交货或提供服务的，甲方有权终止合同并要求退货退款，乙方应在甲方要求终止本协议之日</w:t>
      </w:r>
      <w:r>
        <w:rPr>
          <w:rFonts w:hint="eastAsia" w:ascii="宋体" w:hAnsi="宋体" w:eastAsia="宋体" w:cs="宋体"/>
          <w:color w:val="000000"/>
          <w:sz w:val="24"/>
          <w:szCs w:val="24"/>
        </w:rPr>
        <w:t>起</w:t>
      </w:r>
      <w:r>
        <w:rPr>
          <w:rFonts w:hint="eastAsia" w:ascii="宋体" w:hAnsi="宋体" w:eastAsia="宋体" w:cs="宋体"/>
          <w:color w:val="000000"/>
          <w:sz w:val="24"/>
          <w:szCs w:val="24"/>
          <w:u w:val="single"/>
        </w:rPr>
        <w:t>30</w:t>
      </w:r>
      <w:r>
        <w:rPr>
          <w:rFonts w:hint="eastAsia" w:ascii="宋体" w:hAnsi="宋体" w:eastAsia="宋体" w:cs="宋体"/>
          <w:sz w:val="24"/>
          <w:szCs w:val="24"/>
        </w:rPr>
        <w:t>日内将甲方已付货款返还至甲方。</w:t>
      </w:r>
    </w:p>
    <w:p w14:paraId="750186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7.3乙方应保证甲方和使用单位在使用该货物或其任何一部分时免受第三方提出侵犯其专利权、商标权或工业产权的起诉。</w:t>
      </w:r>
    </w:p>
    <w:p w14:paraId="4CEF1C9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争端的解决</w:t>
      </w:r>
    </w:p>
    <w:p w14:paraId="5AFA9A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双方如在履行合同中发生纠纷，首先应友好协商，协商不成，双方均有权向甲方所在地人民法院起诉。</w:t>
      </w:r>
    </w:p>
    <w:p w14:paraId="6849A3B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合同生效</w:t>
      </w:r>
    </w:p>
    <w:p w14:paraId="059BFC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9.1本合同在甲、乙双方签字盖章生效。</w:t>
      </w:r>
    </w:p>
    <w:p w14:paraId="1FC442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9.2本合同一式</w:t>
      </w:r>
      <w:r>
        <w:rPr>
          <w:rFonts w:hint="eastAsia" w:ascii="宋体" w:hAnsi="宋体" w:eastAsia="宋体" w:cs="宋体"/>
          <w:color w:val="000000"/>
          <w:sz w:val="24"/>
          <w:szCs w:val="24"/>
          <w:u w:val="single"/>
        </w:rPr>
        <w:t>两</w:t>
      </w:r>
      <w:r>
        <w:rPr>
          <w:rFonts w:hint="eastAsia" w:ascii="宋体" w:hAnsi="宋体" w:eastAsia="宋体" w:cs="宋体"/>
          <w:sz w:val="24"/>
          <w:szCs w:val="24"/>
        </w:rPr>
        <w:t>份，以中文为准，签约双方各执一份，具有相同的法律效应、传真件有效。</w:t>
      </w:r>
    </w:p>
    <w:p w14:paraId="766F0EE2">
      <w:pPr>
        <w:spacing w:line="360" w:lineRule="auto"/>
        <w:ind w:firstLine="420"/>
        <w:rPr>
          <w:rFonts w:hint="eastAsia" w:ascii="宋体" w:hAnsi="宋体" w:eastAsia="宋体" w:cs="宋体"/>
          <w:sz w:val="24"/>
          <w:szCs w:val="24"/>
        </w:rPr>
      </w:pPr>
    </w:p>
    <w:p w14:paraId="106749B7">
      <w:pPr>
        <w:spacing w:line="360" w:lineRule="auto"/>
        <w:ind w:firstLine="420"/>
        <w:jc w:val="center"/>
        <w:rPr>
          <w:rFonts w:ascii="宋体" w:hAnsi="宋体" w:eastAsia="宋体" w:cs="DejaVuSans"/>
          <w:kern w:val="0"/>
          <w:sz w:val="24"/>
          <w:szCs w:val="24"/>
        </w:rPr>
      </w:pPr>
      <w:r>
        <w:rPr>
          <w:rFonts w:ascii="宋体" w:hAnsi="宋体" w:eastAsia="宋体" w:cs="DejaVuSans"/>
          <w:kern w:val="0"/>
          <w:sz w:val="24"/>
          <w:szCs w:val="24"/>
        </w:rPr>
        <w:t>(以下无正文)</w:t>
      </w:r>
    </w:p>
    <w:p w14:paraId="4221B5C9">
      <w:pPr>
        <w:spacing w:line="360" w:lineRule="auto"/>
        <w:ind w:firstLine="420"/>
        <w:rPr>
          <w:rFonts w:hint="eastAsia" w:ascii="宋体" w:hAnsi="宋体" w:eastAsia="宋体" w:cs="DejaVuSans"/>
          <w:kern w:val="0"/>
          <w:sz w:val="24"/>
          <w:szCs w:val="24"/>
        </w:rPr>
      </w:pPr>
    </w:p>
    <w:p w14:paraId="1CA6DB53">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甲方</w:t>
      </w:r>
      <w:r>
        <w:rPr>
          <w:rFonts w:ascii="宋体" w:hAnsi="宋体" w:eastAsia="宋体" w:cs="DejaVuSans"/>
          <w:kern w:val="0"/>
          <w:sz w:val="24"/>
          <w:szCs w:val="24"/>
        </w:rPr>
        <w:t xml:space="preserve">(盖章)： </w:t>
      </w:r>
    </w:p>
    <w:p w14:paraId="3F56271F">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甲方联系人：</w:t>
      </w:r>
      <w:r>
        <w:rPr>
          <w:rFonts w:ascii="宋体" w:hAnsi="宋体" w:eastAsia="宋体" w:cs="DejaVuSans"/>
          <w:kern w:val="0"/>
          <w:sz w:val="24"/>
          <w:szCs w:val="24"/>
        </w:rPr>
        <w:t xml:space="preserve"> </w:t>
      </w:r>
    </w:p>
    <w:p w14:paraId="27AA505A">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联系电话：</w:t>
      </w:r>
    </w:p>
    <w:p w14:paraId="22B8120C">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合同签订日期：</w:t>
      </w:r>
    </w:p>
    <w:p w14:paraId="4B7959A6">
      <w:pPr>
        <w:autoSpaceDE w:val="0"/>
        <w:autoSpaceDN w:val="0"/>
        <w:adjustRightInd w:val="0"/>
        <w:spacing w:line="360" w:lineRule="auto"/>
        <w:ind w:firstLine="480" w:firstLineChars="200"/>
        <w:jc w:val="left"/>
        <w:rPr>
          <w:rFonts w:hint="eastAsia" w:ascii="宋体" w:hAnsi="宋体" w:eastAsia="宋体" w:cs="DejaVuSans"/>
          <w:kern w:val="0"/>
          <w:sz w:val="24"/>
          <w:szCs w:val="24"/>
        </w:rPr>
      </w:pPr>
    </w:p>
    <w:p w14:paraId="496CE036">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乙方</w:t>
      </w:r>
      <w:r>
        <w:rPr>
          <w:rFonts w:ascii="宋体" w:hAnsi="宋体" w:eastAsia="宋体" w:cs="DejaVuSans"/>
          <w:kern w:val="0"/>
          <w:sz w:val="24"/>
          <w:szCs w:val="24"/>
        </w:rPr>
        <w:t xml:space="preserve">(盖章)： </w:t>
      </w:r>
    </w:p>
    <w:p w14:paraId="6841E947">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开户银行：</w:t>
      </w:r>
      <w:r>
        <w:rPr>
          <w:rFonts w:ascii="宋体" w:hAnsi="宋体" w:eastAsia="宋体" w:cs="DejaVuSans"/>
          <w:kern w:val="0"/>
          <w:sz w:val="24"/>
          <w:szCs w:val="24"/>
        </w:rPr>
        <w:t xml:space="preserve"> </w:t>
      </w:r>
    </w:p>
    <w:p w14:paraId="349E1546">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银行账号：</w:t>
      </w:r>
    </w:p>
    <w:p w14:paraId="20879027">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乙方联系人：</w:t>
      </w:r>
      <w:r>
        <w:rPr>
          <w:rFonts w:ascii="宋体" w:hAnsi="宋体" w:eastAsia="宋体" w:cs="DejaVuSans"/>
          <w:kern w:val="0"/>
          <w:sz w:val="24"/>
          <w:szCs w:val="24"/>
        </w:rPr>
        <w:t xml:space="preserve"> </w:t>
      </w:r>
    </w:p>
    <w:p w14:paraId="09FA487F">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联系电话：</w:t>
      </w:r>
    </w:p>
    <w:p w14:paraId="5627B93E">
      <w:pPr>
        <w:autoSpaceDE w:val="0"/>
        <w:autoSpaceDN w:val="0"/>
        <w:adjustRightInd w:val="0"/>
        <w:spacing w:line="360" w:lineRule="auto"/>
        <w:ind w:firstLine="480" w:firstLineChars="200"/>
        <w:jc w:val="left"/>
        <w:rPr>
          <w:rFonts w:ascii="宋体" w:hAnsi="宋体"/>
        </w:rPr>
      </w:pPr>
      <w:r>
        <w:rPr>
          <w:rFonts w:hint="eastAsia" w:ascii="宋体" w:hAnsi="宋体" w:eastAsia="宋体" w:cs="DejaVuSans"/>
          <w:kern w:val="0"/>
          <w:sz w:val="24"/>
          <w:szCs w:val="24"/>
        </w:rPr>
        <w:t>合同签订日期：</w:t>
      </w:r>
      <w:r>
        <w:rPr>
          <w:rFonts w:hint="eastAsia" w:ascii="宋体" w:hAnsi="宋体"/>
        </w:rPr>
        <w:t xml:space="preserve">           </w:t>
      </w:r>
    </w:p>
    <w:bookmarkEnd w:id="163"/>
    <w:bookmarkEnd w:id="164"/>
    <w:bookmarkEnd w:id="165"/>
    <w:bookmarkEnd w:id="166"/>
    <w:bookmarkEnd w:id="167"/>
    <w:bookmarkEnd w:id="168"/>
    <w:bookmarkEnd w:id="169"/>
    <w:bookmarkEnd w:id="170"/>
    <w:bookmarkEnd w:id="171"/>
    <w:bookmarkEnd w:id="172"/>
    <w:bookmarkEnd w:id="183"/>
    <w:p w14:paraId="6EC41FC1">
      <w:pPr>
        <w:pStyle w:val="40"/>
        <w:spacing w:line="360" w:lineRule="auto"/>
        <w:jc w:val="center"/>
      </w:pPr>
      <w:bookmarkStart w:id="184" w:name="_Toc169861825"/>
      <w:r>
        <w:rPr>
          <w:sz w:val="36"/>
        </w:rPr>
        <w:t>第</w:t>
      </w:r>
      <w:r>
        <w:rPr>
          <w:rFonts w:hint="eastAsia"/>
          <w:sz w:val="36"/>
          <w:lang w:val="en-US" w:eastAsia="zh-CN"/>
        </w:rPr>
        <w:t>五</w:t>
      </w:r>
      <w:r>
        <w:rPr>
          <w:sz w:val="36"/>
        </w:rPr>
        <w:t>部分</w:t>
      </w:r>
      <w:bookmarkEnd w:id="173"/>
      <w:bookmarkEnd w:id="174"/>
      <w:bookmarkEnd w:id="175"/>
      <w:bookmarkEnd w:id="176"/>
      <w:bookmarkEnd w:id="177"/>
      <w:r>
        <w:rPr>
          <w:sz w:val="36"/>
        </w:rPr>
        <w:t xml:space="preserve"> 响应文件格式</w:t>
      </w:r>
      <w:bookmarkEnd w:id="178"/>
      <w:bookmarkEnd w:id="179"/>
      <w:bookmarkEnd w:id="180"/>
      <w:bookmarkEnd w:id="181"/>
      <w:bookmarkEnd w:id="182"/>
      <w:bookmarkEnd w:id="184"/>
    </w:p>
    <w:p w14:paraId="2F477484">
      <w:pPr>
        <w:pStyle w:val="4"/>
        <w:keepNext w:val="0"/>
        <w:keepLines w:val="0"/>
        <w:spacing w:before="0" w:after="0" w:line="360" w:lineRule="auto"/>
        <w:jc w:val="center"/>
        <w:rPr>
          <w:rFonts w:ascii="Times New Roman" w:hAnsi="Times New Roman" w:eastAsia="宋体"/>
          <w:b w:val="0"/>
          <w:sz w:val="24"/>
          <w:szCs w:val="24"/>
        </w:rPr>
      </w:pPr>
      <w:bookmarkStart w:id="185" w:name="_Toc476976200"/>
      <w:bookmarkStart w:id="186" w:name="_Toc169861826"/>
      <w:bookmarkStart w:id="187" w:name="_Toc458262638"/>
      <w:bookmarkStart w:id="188" w:name="_Toc454701405"/>
      <w:bookmarkStart w:id="189" w:name="_Toc486671572"/>
      <w:bookmarkStart w:id="190" w:name="_Toc467236768"/>
      <w:r>
        <w:rPr>
          <w:rFonts w:ascii="Times New Roman" w:hAnsi="Times New Roman" w:eastAsia="宋体"/>
          <w:bCs/>
          <w:sz w:val="24"/>
          <w:szCs w:val="24"/>
        </w:rPr>
        <w:t>一、</w:t>
      </w:r>
      <w:r>
        <w:rPr>
          <w:rFonts w:ascii="Times New Roman" w:hAnsi="Times New Roman" w:eastAsia="宋体"/>
          <w:sz w:val="24"/>
          <w:szCs w:val="24"/>
        </w:rPr>
        <w:t>响应书</w:t>
      </w:r>
      <w:bookmarkEnd w:id="185"/>
      <w:bookmarkEnd w:id="186"/>
      <w:bookmarkEnd w:id="187"/>
      <w:bookmarkEnd w:id="188"/>
      <w:bookmarkEnd w:id="189"/>
      <w:bookmarkEnd w:id="190"/>
    </w:p>
    <w:p w14:paraId="4EFC2C06">
      <w:pPr>
        <w:pStyle w:val="25"/>
        <w:autoSpaceDE/>
        <w:autoSpaceDN/>
        <w:adjustRightInd/>
        <w:spacing w:line="360" w:lineRule="auto"/>
        <w:textAlignment w:val="auto"/>
        <w:rPr>
          <w:rFonts w:hint="eastAsia" w:ascii="Times New Roman" w:eastAsia="宋体"/>
          <w:kern w:val="2"/>
          <w:sz w:val="24"/>
          <w:szCs w:val="21"/>
          <w:lang w:eastAsia="zh-CN"/>
        </w:rPr>
      </w:pPr>
      <w:r>
        <w:rPr>
          <w:rFonts w:ascii="Times New Roman"/>
          <w:kern w:val="2"/>
          <w:sz w:val="24"/>
          <w:szCs w:val="21"/>
        </w:rPr>
        <w:t>致：</w:t>
      </w:r>
      <w:r>
        <w:rPr>
          <w:rFonts w:hint="eastAsia" w:ascii="Times New Roman"/>
          <w:kern w:val="2"/>
          <w:sz w:val="24"/>
          <w:szCs w:val="21"/>
          <w:u w:val="single"/>
          <w:lang w:val="en-US" w:eastAsia="zh-CN"/>
        </w:rPr>
        <w:t>开平市中心医院</w:t>
      </w:r>
    </w:p>
    <w:p w14:paraId="26289D71">
      <w:pPr>
        <w:adjustRightInd w:val="0"/>
        <w:snapToGrid w:val="0"/>
        <w:spacing w:before="100" w:after="100" w:line="360" w:lineRule="auto"/>
        <w:ind w:firstLine="480" w:firstLineChars="200"/>
        <w:rPr>
          <w:rFonts w:eastAsia="宋体"/>
          <w:sz w:val="24"/>
          <w:szCs w:val="21"/>
        </w:rPr>
      </w:pPr>
      <w:r>
        <w:rPr>
          <w:rFonts w:eastAsia="宋体"/>
          <w:sz w:val="24"/>
          <w:szCs w:val="21"/>
        </w:rPr>
        <w:t>根据</w:t>
      </w:r>
      <w:r>
        <w:rPr>
          <w:rFonts w:hint="eastAsia" w:eastAsia="宋体"/>
          <w:sz w:val="24"/>
          <w:szCs w:val="21"/>
          <w:u w:val="single"/>
        </w:rPr>
        <w:t xml:space="preserve"> </w:t>
      </w:r>
      <w:r>
        <w:rPr>
          <w:rFonts w:hint="eastAsia" w:eastAsia="宋体"/>
          <w:sz w:val="24"/>
          <w:szCs w:val="21"/>
          <w:u w:val="single"/>
          <w:lang w:eastAsia="zh-CN"/>
        </w:rPr>
        <w:t>开平市中心医院病案密集架采购项目</w:t>
      </w:r>
      <w:r>
        <w:rPr>
          <w:rFonts w:hint="eastAsia" w:eastAsia="宋体"/>
          <w:sz w:val="24"/>
          <w:szCs w:val="21"/>
        </w:rPr>
        <w:t>项目的</w:t>
      </w:r>
      <w:r>
        <w:rPr>
          <w:rFonts w:hint="eastAsia" w:eastAsia="宋体"/>
          <w:sz w:val="24"/>
          <w:szCs w:val="21"/>
          <w:lang w:eastAsia="zh-CN"/>
        </w:rPr>
        <w:t>遴选</w:t>
      </w:r>
      <w:r>
        <w:rPr>
          <w:rFonts w:eastAsia="宋体"/>
          <w:sz w:val="24"/>
          <w:szCs w:val="21"/>
        </w:rPr>
        <w:t>文件，供应商承诺如下：</w:t>
      </w:r>
    </w:p>
    <w:p w14:paraId="4AC6458D">
      <w:pPr>
        <w:spacing w:line="360" w:lineRule="auto"/>
        <w:ind w:firstLine="480" w:firstLineChars="200"/>
        <w:rPr>
          <w:rFonts w:eastAsia="宋体"/>
          <w:sz w:val="24"/>
          <w:szCs w:val="21"/>
        </w:rPr>
      </w:pPr>
      <w:r>
        <w:rPr>
          <w:rFonts w:eastAsia="宋体"/>
          <w:sz w:val="24"/>
          <w:szCs w:val="21"/>
        </w:rPr>
        <w:t>1.签字代表</w:t>
      </w:r>
      <w:r>
        <w:rPr>
          <w:rFonts w:eastAsia="宋体"/>
          <w:sz w:val="24"/>
          <w:szCs w:val="21"/>
          <w:u w:val="single"/>
        </w:rPr>
        <w:t>（姓名、职务）</w:t>
      </w:r>
      <w:r>
        <w:rPr>
          <w:rFonts w:eastAsia="宋体"/>
          <w:sz w:val="24"/>
          <w:szCs w:val="21"/>
        </w:rPr>
        <w:t>经正式授权并代表供应商</w:t>
      </w:r>
      <w:r>
        <w:rPr>
          <w:rFonts w:eastAsia="宋体"/>
          <w:sz w:val="24"/>
          <w:szCs w:val="21"/>
          <w:u w:val="single"/>
        </w:rPr>
        <w:t>（供应商名称、地址）</w:t>
      </w:r>
      <w:r>
        <w:rPr>
          <w:rFonts w:eastAsia="宋体"/>
          <w:sz w:val="24"/>
          <w:szCs w:val="21"/>
        </w:rPr>
        <w:t>提交响应文件正本一份和副本</w:t>
      </w:r>
      <w:r>
        <w:rPr>
          <w:rFonts w:hint="eastAsia" w:eastAsia="宋体"/>
          <w:sz w:val="24"/>
          <w:szCs w:val="21"/>
        </w:rPr>
        <w:t>二</w:t>
      </w:r>
      <w:r>
        <w:rPr>
          <w:rFonts w:eastAsia="宋体"/>
          <w:sz w:val="24"/>
          <w:szCs w:val="21"/>
        </w:rPr>
        <w:t>份。</w:t>
      </w:r>
    </w:p>
    <w:p w14:paraId="7CB0FB4D">
      <w:pPr>
        <w:spacing w:line="360" w:lineRule="auto"/>
        <w:ind w:firstLine="480" w:firstLineChars="200"/>
        <w:outlineLvl w:val="2"/>
        <w:rPr>
          <w:rFonts w:eastAsia="宋体"/>
          <w:sz w:val="24"/>
          <w:szCs w:val="21"/>
        </w:rPr>
      </w:pPr>
      <w:r>
        <w:rPr>
          <w:rFonts w:eastAsia="宋体"/>
          <w:sz w:val="24"/>
          <w:szCs w:val="21"/>
        </w:rPr>
        <w:t>2.供应商愿意参加响应并在成交后按</w:t>
      </w:r>
      <w:r>
        <w:rPr>
          <w:rFonts w:hint="eastAsia" w:eastAsia="宋体"/>
          <w:sz w:val="24"/>
          <w:szCs w:val="21"/>
          <w:lang w:eastAsia="zh-CN"/>
        </w:rPr>
        <w:t>遴选</w:t>
      </w:r>
      <w:r>
        <w:rPr>
          <w:rFonts w:eastAsia="宋体"/>
          <w:sz w:val="24"/>
          <w:szCs w:val="21"/>
        </w:rPr>
        <w:t>文件规定履行义务。</w:t>
      </w:r>
    </w:p>
    <w:p w14:paraId="6F859D65">
      <w:pPr>
        <w:spacing w:line="360" w:lineRule="auto"/>
        <w:ind w:firstLine="480" w:firstLineChars="200"/>
        <w:rPr>
          <w:rFonts w:eastAsia="宋体"/>
          <w:sz w:val="24"/>
          <w:szCs w:val="21"/>
        </w:rPr>
      </w:pPr>
      <w:r>
        <w:rPr>
          <w:rFonts w:eastAsia="宋体"/>
          <w:sz w:val="24"/>
          <w:szCs w:val="21"/>
        </w:rPr>
        <w:t>3.供应商已详细审查全部</w:t>
      </w:r>
      <w:r>
        <w:rPr>
          <w:rFonts w:hint="eastAsia" w:eastAsia="宋体"/>
          <w:sz w:val="24"/>
          <w:szCs w:val="21"/>
          <w:lang w:eastAsia="zh-CN"/>
        </w:rPr>
        <w:t>遴选</w:t>
      </w:r>
      <w:r>
        <w:rPr>
          <w:rFonts w:eastAsia="宋体"/>
          <w:sz w:val="24"/>
          <w:szCs w:val="21"/>
        </w:rPr>
        <w:t>文件，包括澄清或修改文件（如有的话）等全部资料。供应商完全理解</w:t>
      </w:r>
      <w:r>
        <w:rPr>
          <w:rFonts w:hint="eastAsia" w:eastAsia="宋体"/>
          <w:sz w:val="24"/>
          <w:szCs w:val="21"/>
          <w:lang w:eastAsia="zh-CN"/>
        </w:rPr>
        <w:t>遴选</w:t>
      </w:r>
      <w:r>
        <w:rPr>
          <w:rFonts w:eastAsia="宋体"/>
          <w:sz w:val="24"/>
          <w:szCs w:val="21"/>
        </w:rPr>
        <w:t>文件的内容，不存在对</w:t>
      </w:r>
      <w:r>
        <w:rPr>
          <w:rFonts w:hint="eastAsia" w:eastAsia="宋体"/>
          <w:sz w:val="24"/>
          <w:szCs w:val="21"/>
          <w:lang w:eastAsia="zh-CN"/>
        </w:rPr>
        <w:t>遴选</w:t>
      </w:r>
      <w:r>
        <w:rPr>
          <w:rFonts w:eastAsia="宋体"/>
          <w:sz w:val="24"/>
          <w:szCs w:val="21"/>
        </w:rPr>
        <w:t>文件不明白和误解。</w:t>
      </w:r>
    </w:p>
    <w:p w14:paraId="71B5D1DB">
      <w:pPr>
        <w:spacing w:line="360" w:lineRule="auto"/>
        <w:ind w:firstLine="480" w:firstLineChars="200"/>
        <w:rPr>
          <w:rFonts w:eastAsia="宋体"/>
          <w:sz w:val="24"/>
          <w:szCs w:val="21"/>
        </w:rPr>
      </w:pPr>
      <w:r>
        <w:rPr>
          <w:rFonts w:eastAsia="宋体"/>
          <w:sz w:val="24"/>
          <w:szCs w:val="21"/>
        </w:rPr>
        <w:t>4.响应文件中所提交的所有资料均是准确的和真实的</w:t>
      </w:r>
      <w:r>
        <w:rPr>
          <w:rFonts w:hint="eastAsia" w:eastAsia="宋体"/>
          <w:sz w:val="24"/>
          <w:szCs w:val="21"/>
        </w:rPr>
        <w:t>，</w:t>
      </w:r>
      <w:r>
        <w:rPr>
          <w:rFonts w:eastAsia="宋体"/>
          <w:sz w:val="24"/>
          <w:szCs w:val="21"/>
        </w:rPr>
        <w:t>否则，我单位愿意放弃成交的权利和接受政府采购监督管理部门的处罚。</w:t>
      </w:r>
    </w:p>
    <w:p w14:paraId="19DD474B">
      <w:pPr>
        <w:spacing w:line="360" w:lineRule="auto"/>
        <w:ind w:firstLine="480" w:firstLineChars="200"/>
        <w:rPr>
          <w:rFonts w:eastAsia="宋体"/>
          <w:sz w:val="24"/>
          <w:szCs w:val="21"/>
        </w:rPr>
      </w:pPr>
      <w:r>
        <w:rPr>
          <w:rFonts w:eastAsia="宋体"/>
          <w:sz w:val="24"/>
          <w:szCs w:val="21"/>
        </w:rPr>
        <w:t>5.参加本项目政府采购活动前3年内，在经营活动中没有重大违法记录。</w:t>
      </w:r>
    </w:p>
    <w:p w14:paraId="566D8640">
      <w:pPr>
        <w:spacing w:line="360" w:lineRule="auto"/>
        <w:ind w:firstLine="480" w:firstLineChars="200"/>
        <w:outlineLvl w:val="2"/>
        <w:rPr>
          <w:rFonts w:eastAsia="宋体"/>
          <w:sz w:val="24"/>
          <w:szCs w:val="21"/>
        </w:rPr>
      </w:pPr>
      <w:r>
        <w:rPr>
          <w:rFonts w:eastAsia="宋体"/>
          <w:sz w:val="24"/>
          <w:szCs w:val="21"/>
        </w:rPr>
        <w:t>6.响应有效期为30个工作日，自开启响应文件之日起算。</w:t>
      </w:r>
    </w:p>
    <w:p w14:paraId="35D7C6CE">
      <w:pPr>
        <w:spacing w:line="360" w:lineRule="auto"/>
        <w:ind w:firstLine="480" w:firstLineChars="200"/>
        <w:rPr>
          <w:rFonts w:eastAsia="宋体"/>
          <w:sz w:val="24"/>
          <w:szCs w:val="21"/>
        </w:rPr>
      </w:pPr>
      <w:r>
        <w:rPr>
          <w:rFonts w:hint="eastAsia" w:eastAsia="宋体"/>
          <w:sz w:val="24"/>
          <w:szCs w:val="21"/>
          <w:lang w:val="en-US" w:eastAsia="zh-CN"/>
        </w:rPr>
        <w:t>7</w:t>
      </w:r>
      <w:r>
        <w:rPr>
          <w:rFonts w:eastAsia="宋体"/>
          <w:sz w:val="24"/>
          <w:szCs w:val="21"/>
        </w:rPr>
        <w:t>.如果开启响应文件后，在响应有效期内撤回文件的，我单位愿意承担贵单位由此而产生的损失。</w:t>
      </w:r>
    </w:p>
    <w:p w14:paraId="06BA205F">
      <w:pPr>
        <w:spacing w:line="360" w:lineRule="auto"/>
        <w:ind w:firstLine="480" w:firstLineChars="200"/>
        <w:rPr>
          <w:rFonts w:eastAsia="宋体"/>
          <w:sz w:val="24"/>
          <w:szCs w:val="21"/>
        </w:rPr>
      </w:pPr>
      <w:r>
        <w:rPr>
          <w:rFonts w:hint="eastAsia" w:eastAsia="宋体"/>
          <w:sz w:val="24"/>
          <w:szCs w:val="21"/>
          <w:lang w:val="en-US" w:eastAsia="zh-CN"/>
        </w:rPr>
        <w:t>8</w:t>
      </w:r>
      <w:r>
        <w:rPr>
          <w:rFonts w:eastAsia="宋体"/>
          <w:sz w:val="24"/>
          <w:szCs w:val="21"/>
        </w:rPr>
        <w:t>.供应商同意提供按照贵方可能要求的有关的一切资料，理解贵单位不一定要接受最低价的响应或收到的任何响应。</w:t>
      </w:r>
    </w:p>
    <w:p w14:paraId="15B61E8E">
      <w:pPr>
        <w:spacing w:line="360" w:lineRule="auto"/>
        <w:ind w:firstLine="480" w:firstLineChars="200"/>
        <w:rPr>
          <w:rFonts w:eastAsia="宋体"/>
          <w:sz w:val="24"/>
          <w:szCs w:val="21"/>
        </w:rPr>
      </w:pPr>
      <w:r>
        <w:rPr>
          <w:rFonts w:hint="eastAsia" w:eastAsia="宋体"/>
          <w:sz w:val="24"/>
          <w:szCs w:val="21"/>
          <w:lang w:val="en-US" w:eastAsia="zh-CN"/>
        </w:rPr>
        <w:t>9</w:t>
      </w:r>
      <w:r>
        <w:rPr>
          <w:rFonts w:eastAsia="宋体"/>
          <w:sz w:val="24"/>
          <w:szCs w:val="21"/>
        </w:rPr>
        <w:t>.与本响应有关的一切正式往来通讯请寄：</w:t>
      </w:r>
      <w:r>
        <w:rPr>
          <w:rFonts w:eastAsia="宋体"/>
          <w:sz w:val="24"/>
          <w:szCs w:val="21"/>
          <w:u w:val="single"/>
        </w:rPr>
        <w:t xml:space="preserve">                            </w:t>
      </w:r>
    </w:p>
    <w:p w14:paraId="1E55FC9E">
      <w:pPr>
        <w:spacing w:line="360" w:lineRule="auto"/>
        <w:ind w:firstLine="480" w:firstLineChars="200"/>
        <w:rPr>
          <w:rFonts w:eastAsia="宋体"/>
          <w:sz w:val="24"/>
          <w:szCs w:val="21"/>
        </w:rPr>
      </w:pPr>
    </w:p>
    <w:p w14:paraId="68CB05A0">
      <w:pPr>
        <w:spacing w:line="360" w:lineRule="auto"/>
        <w:ind w:firstLine="480" w:firstLineChars="200"/>
        <w:rPr>
          <w:rFonts w:eastAsia="宋体"/>
          <w:sz w:val="24"/>
          <w:szCs w:val="21"/>
        </w:rPr>
      </w:pPr>
    </w:p>
    <w:p w14:paraId="5FB75DAD">
      <w:pPr>
        <w:spacing w:line="360" w:lineRule="auto"/>
        <w:ind w:firstLine="480" w:firstLineChars="200"/>
        <w:rPr>
          <w:rFonts w:eastAsia="宋体"/>
          <w:sz w:val="24"/>
          <w:szCs w:val="21"/>
        </w:rPr>
      </w:pPr>
      <w:r>
        <w:rPr>
          <w:rFonts w:eastAsia="宋体"/>
          <w:sz w:val="24"/>
          <w:szCs w:val="21"/>
        </w:rPr>
        <w:t>供应商名称：</w:t>
      </w:r>
      <w:r>
        <w:rPr>
          <w:rFonts w:eastAsia="宋体"/>
          <w:sz w:val="24"/>
          <w:szCs w:val="21"/>
          <w:u w:val="single"/>
        </w:rPr>
        <w:t xml:space="preserve">            （盖公章）                   </w:t>
      </w:r>
    </w:p>
    <w:p w14:paraId="7468A3A6">
      <w:pPr>
        <w:spacing w:line="360" w:lineRule="auto"/>
        <w:ind w:firstLine="480" w:firstLineChars="200"/>
        <w:rPr>
          <w:rFonts w:eastAsia="宋体"/>
          <w:sz w:val="24"/>
          <w:szCs w:val="21"/>
          <w:u w:val="single"/>
        </w:rPr>
      </w:pPr>
      <w:r>
        <w:rPr>
          <w:rFonts w:eastAsia="宋体"/>
          <w:sz w:val="24"/>
          <w:szCs w:val="21"/>
        </w:rPr>
        <w:t>供应商代表姓名、职务（印刷体）：</w:t>
      </w:r>
      <w:r>
        <w:rPr>
          <w:rFonts w:eastAsia="宋体"/>
          <w:sz w:val="24"/>
          <w:szCs w:val="21"/>
          <w:u w:val="single"/>
        </w:rPr>
        <w:t xml:space="preserve">                      </w:t>
      </w:r>
    </w:p>
    <w:p w14:paraId="2EFC83B7">
      <w:pPr>
        <w:spacing w:line="360" w:lineRule="auto"/>
        <w:ind w:firstLine="480" w:firstLineChars="200"/>
        <w:rPr>
          <w:rFonts w:eastAsia="宋体"/>
          <w:sz w:val="24"/>
          <w:szCs w:val="21"/>
        </w:rPr>
      </w:pPr>
      <w:r>
        <w:rPr>
          <w:rFonts w:eastAsia="宋体"/>
          <w:sz w:val="24"/>
          <w:szCs w:val="21"/>
        </w:rPr>
        <w:t>供应商联系电话：</w:t>
      </w:r>
      <w:r>
        <w:rPr>
          <w:rFonts w:eastAsia="宋体"/>
          <w:sz w:val="24"/>
          <w:szCs w:val="21"/>
          <w:u w:val="single"/>
        </w:rPr>
        <w:t xml:space="preserve">                               </w:t>
      </w:r>
    </w:p>
    <w:p w14:paraId="039DA838">
      <w:pPr>
        <w:spacing w:line="360" w:lineRule="auto"/>
        <w:ind w:firstLine="480" w:firstLineChars="200"/>
        <w:rPr>
          <w:rFonts w:eastAsia="宋体"/>
          <w:sz w:val="24"/>
          <w:szCs w:val="21"/>
        </w:rPr>
      </w:pPr>
      <w:r>
        <w:rPr>
          <w:rFonts w:eastAsia="宋体"/>
          <w:sz w:val="24"/>
          <w:szCs w:val="21"/>
        </w:rPr>
        <w:t>日期：</w:t>
      </w:r>
      <w:r>
        <w:rPr>
          <w:rFonts w:eastAsia="宋体"/>
          <w:sz w:val="24"/>
          <w:szCs w:val="21"/>
          <w:u w:val="single"/>
        </w:rPr>
        <w:t xml:space="preserve">     </w:t>
      </w:r>
      <w:r>
        <w:rPr>
          <w:rFonts w:eastAsia="宋体"/>
          <w:sz w:val="24"/>
          <w:szCs w:val="21"/>
        </w:rPr>
        <w:t>年</w:t>
      </w:r>
      <w:r>
        <w:rPr>
          <w:rFonts w:eastAsia="宋体"/>
          <w:sz w:val="24"/>
          <w:szCs w:val="21"/>
          <w:u w:val="single"/>
        </w:rPr>
        <w:t xml:space="preserve">      </w:t>
      </w:r>
      <w:r>
        <w:rPr>
          <w:rFonts w:eastAsia="宋体"/>
          <w:sz w:val="24"/>
          <w:szCs w:val="21"/>
        </w:rPr>
        <w:t>月</w:t>
      </w:r>
      <w:r>
        <w:rPr>
          <w:rFonts w:eastAsia="宋体"/>
          <w:sz w:val="24"/>
          <w:szCs w:val="21"/>
          <w:u w:val="single"/>
        </w:rPr>
        <w:t xml:space="preserve">      </w:t>
      </w:r>
      <w:r>
        <w:rPr>
          <w:rFonts w:eastAsia="宋体"/>
          <w:sz w:val="24"/>
          <w:szCs w:val="21"/>
        </w:rPr>
        <w:t>日</w:t>
      </w:r>
    </w:p>
    <w:p w14:paraId="2A500CF8">
      <w:pPr>
        <w:pStyle w:val="4"/>
        <w:keepNext w:val="0"/>
        <w:keepLines w:val="0"/>
        <w:spacing w:before="0" w:after="0" w:line="360" w:lineRule="auto"/>
        <w:jc w:val="center"/>
        <w:rPr>
          <w:rFonts w:ascii="Times New Roman" w:hAnsi="Times New Roman" w:eastAsia="宋体"/>
          <w:bCs/>
          <w:sz w:val="24"/>
          <w:szCs w:val="21"/>
        </w:rPr>
      </w:pPr>
      <w:bookmarkStart w:id="191" w:name="_Toc467236769"/>
      <w:bookmarkStart w:id="192" w:name="_Toc476976201"/>
      <w:bookmarkStart w:id="193" w:name="_Toc486671573"/>
      <w:bookmarkStart w:id="194" w:name="_Toc458262639"/>
      <w:bookmarkStart w:id="195" w:name="_Toc454701406"/>
      <w:r>
        <w:rPr>
          <w:rFonts w:ascii="Times New Roman" w:hAnsi="Times New Roman" w:eastAsia="宋体"/>
          <w:bCs/>
          <w:sz w:val="24"/>
          <w:szCs w:val="21"/>
        </w:rPr>
        <w:br w:type="page"/>
      </w:r>
      <w:bookmarkStart w:id="196" w:name="_Toc169861827"/>
      <w:r>
        <w:rPr>
          <w:rFonts w:ascii="Times New Roman" w:hAnsi="Times New Roman" w:eastAsia="宋体"/>
          <w:bCs/>
          <w:sz w:val="24"/>
          <w:szCs w:val="21"/>
        </w:rPr>
        <w:t>二、报价一览表</w:t>
      </w:r>
      <w:bookmarkEnd w:id="191"/>
      <w:bookmarkEnd w:id="192"/>
      <w:bookmarkEnd w:id="193"/>
      <w:bookmarkEnd w:id="194"/>
      <w:bookmarkEnd w:id="195"/>
      <w:bookmarkEnd w:id="196"/>
    </w:p>
    <w:tbl>
      <w:tblPr>
        <w:tblStyle w:val="42"/>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1382"/>
        <w:gridCol w:w="3405"/>
        <w:gridCol w:w="2366"/>
        <w:gridCol w:w="938"/>
        <w:gridCol w:w="928"/>
        <w:gridCol w:w="11"/>
      </w:tblGrid>
      <w:tr w14:paraId="325D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0" w:hRule="exact"/>
          <w:jc w:val="center"/>
        </w:trPr>
        <w:tc>
          <w:tcPr>
            <w:tcW w:w="2119" w:type="dxa"/>
            <w:gridSpan w:val="2"/>
            <w:vAlign w:val="center"/>
          </w:tcPr>
          <w:p w14:paraId="11038840">
            <w:pPr>
              <w:autoSpaceDE w:val="0"/>
              <w:autoSpaceDN w:val="0"/>
              <w:adjustRightInd w:val="0"/>
              <w:jc w:val="center"/>
              <w:rPr>
                <w:rFonts w:ascii="宋体" w:hAnsi="宋体" w:eastAsia="宋体" w:cs="宋体"/>
                <w:b/>
                <w:kern w:val="0"/>
                <w:sz w:val="24"/>
                <w:szCs w:val="24"/>
              </w:rPr>
            </w:pPr>
            <w:r>
              <w:rPr>
                <w:rFonts w:hint="eastAsia" w:ascii="宋体" w:hAnsi="宋体" w:eastAsia="宋体" w:cs="宋体"/>
                <w:kern w:val="0"/>
                <w:sz w:val="24"/>
                <w:szCs w:val="24"/>
              </w:rPr>
              <w:t>项目名称</w:t>
            </w:r>
          </w:p>
        </w:tc>
        <w:tc>
          <w:tcPr>
            <w:tcW w:w="7637" w:type="dxa"/>
            <w:gridSpan w:val="4"/>
            <w:vAlign w:val="center"/>
          </w:tcPr>
          <w:p w14:paraId="71E652CB">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lang w:eastAsia="zh-CN"/>
              </w:rPr>
              <w:t>开平市中心医院病案密集架采购项目</w:t>
            </w:r>
            <w:r>
              <w:rPr>
                <w:rFonts w:hint="eastAsia" w:ascii="宋体" w:hAnsi="宋体" w:eastAsia="宋体" w:cs="宋体"/>
                <w:kern w:val="0"/>
                <w:sz w:val="24"/>
                <w:szCs w:val="24"/>
              </w:rPr>
              <w:t xml:space="preserve"> </w:t>
            </w:r>
          </w:p>
        </w:tc>
      </w:tr>
      <w:tr w14:paraId="180AC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37" w:type="dxa"/>
            <w:noWrap w:val="0"/>
            <w:vAlign w:val="center"/>
          </w:tcPr>
          <w:p w14:paraId="60BE9695">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382" w:type="dxa"/>
            <w:noWrap w:val="0"/>
            <w:vAlign w:val="center"/>
          </w:tcPr>
          <w:p w14:paraId="612E395B">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产品名称</w:t>
            </w:r>
          </w:p>
        </w:tc>
        <w:tc>
          <w:tcPr>
            <w:tcW w:w="3405" w:type="dxa"/>
            <w:noWrap w:val="0"/>
            <w:vAlign w:val="center"/>
          </w:tcPr>
          <w:p w14:paraId="3A774759">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产品</w:t>
            </w:r>
            <w:r>
              <w:rPr>
                <w:rFonts w:hint="eastAsia" w:ascii="宋体" w:hAnsi="宋体" w:eastAsia="宋体" w:cs="宋体"/>
                <w:color w:val="000000"/>
                <w:sz w:val="24"/>
                <w:szCs w:val="24"/>
                <w:lang w:val="en-US" w:eastAsia="zh-CN"/>
              </w:rPr>
              <w:t>图片</w:t>
            </w:r>
          </w:p>
        </w:tc>
        <w:tc>
          <w:tcPr>
            <w:tcW w:w="2366" w:type="dxa"/>
            <w:noWrap w:val="0"/>
            <w:vAlign w:val="center"/>
          </w:tcPr>
          <w:p w14:paraId="180A068D">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产品参数</w:t>
            </w:r>
          </w:p>
        </w:tc>
        <w:tc>
          <w:tcPr>
            <w:tcW w:w="938" w:type="dxa"/>
            <w:noWrap w:val="0"/>
            <w:vAlign w:val="center"/>
          </w:tcPr>
          <w:p w14:paraId="3A31B142">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数量</w:t>
            </w:r>
          </w:p>
        </w:tc>
        <w:tc>
          <w:tcPr>
            <w:tcW w:w="939" w:type="dxa"/>
            <w:gridSpan w:val="2"/>
            <w:noWrap w:val="0"/>
            <w:vAlign w:val="center"/>
          </w:tcPr>
          <w:p w14:paraId="74A6A0A9">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单位</w:t>
            </w:r>
          </w:p>
        </w:tc>
      </w:tr>
      <w:tr w14:paraId="2360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737" w:type="dxa"/>
            <w:noWrap w:val="0"/>
            <w:vAlign w:val="center"/>
          </w:tcPr>
          <w:p w14:paraId="0CBF7922">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382" w:type="dxa"/>
            <w:noWrap w:val="0"/>
            <w:vAlign w:val="center"/>
          </w:tcPr>
          <w:p w14:paraId="226FA779">
            <w:pPr>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密集架</w:t>
            </w:r>
          </w:p>
        </w:tc>
        <w:tc>
          <w:tcPr>
            <w:tcW w:w="3405" w:type="dxa"/>
            <w:noWrap w:val="0"/>
            <w:vAlign w:val="center"/>
          </w:tcPr>
          <w:p w14:paraId="2D0611A0">
            <w:pPr>
              <w:spacing w:line="360" w:lineRule="auto"/>
              <w:jc w:val="center"/>
              <w:rPr>
                <w:rFonts w:hint="eastAsia" w:ascii="宋体" w:hAnsi="宋体" w:eastAsia="宋体" w:cs="宋体"/>
                <w:color w:val="000000"/>
                <w:sz w:val="24"/>
                <w:szCs w:val="24"/>
              </w:rPr>
            </w:pPr>
          </w:p>
        </w:tc>
        <w:tc>
          <w:tcPr>
            <w:tcW w:w="2366" w:type="dxa"/>
            <w:noWrap w:val="0"/>
            <w:vAlign w:val="center"/>
          </w:tcPr>
          <w:p w14:paraId="137E50FC">
            <w:pPr>
              <w:spacing w:line="360" w:lineRule="auto"/>
              <w:jc w:val="center"/>
              <w:rPr>
                <w:rFonts w:hint="eastAsia" w:ascii="宋体" w:hAnsi="宋体" w:eastAsia="宋体" w:cs="宋体"/>
                <w:color w:val="000000"/>
                <w:sz w:val="24"/>
                <w:szCs w:val="24"/>
              </w:rPr>
            </w:pPr>
            <w:bookmarkStart w:id="256" w:name="_GoBack"/>
            <w:bookmarkEnd w:id="256"/>
          </w:p>
        </w:tc>
        <w:tc>
          <w:tcPr>
            <w:tcW w:w="938" w:type="dxa"/>
            <w:noWrap w:val="0"/>
            <w:vAlign w:val="center"/>
          </w:tcPr>
          <w:p w14:paraId="6277D62F">
            <w:pPr>
              <w:spacing w:line="360" w:lineRule="auto"/>
              <w:jc w:val="center"/>
              <w:rPr>
                <w:rFonts w:hint="eastAsia" w:ascii="宋体" w:hAnsi="宋体" w:eastAsia="宋体" w:cs="宋体"/>
                <w:color w:val="000000"/>
                <w:sz w:val="24"/>
                <w:szCs w:val="24"/>
              </w:rPr>
            </w:pPr>
          </w:p>
        </w:tc>
        <w:tc>
          <w:tcPr>
            <w:tcW w:w="939" w:type="dxa"/>
            <w:gridSpan w:val="2"/>
            <w:noWrap w:val="0"/>
            <w:vAlign w:val="center"/>
          </w:tcPr>
          <w:p w14:paraId="3D15FDD7">
            <w:pPr>
              <w:spacing w:line="360" w:lineRule="auto"/>
              <w:jc w:val="center"/>
              <w:rPr>
                <w:rFonts w:hint="eastAsia" w:ascii="宋体" w:hAnsi="宋体" w:eastAsia="宋体" w:cs="宋体"/>
                <w:color w:val="000000"/>
                <w:sz w:val="24"/>
                <w:szCs w:val="24"/>
              </w:rPr>
            </w:pPr>
          </w:p>
        </w:tc>
      </w:tr>
      <w:tr w14:paraId="5345C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19" w:type="dxa"/>
            <w:gridSpan w:val="2"/>
            <w:vMerge w:val="restart"/>
            <w:noWrap w:val="0"/>
            <w:vAlign w:val="center"/>
          </w:tcPr>
          <w:p w14:paraId="165523D7">
            <w:pPr>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总报价</w:t>
            </w:r>
          </w:p>
        </w:tc>
        <w:tc>
          <w:tcPr>
            <w:tcW w:w="3405" w:type="dxa"/>
            <w:noWrap w:val="0"/>
            <w:vAlign w:val="center"/>
          </w:tcPr>
          <w:p w14:paraId="3292ACE9">
            <w:pPr>
              <w:spacing w:line="360" w:lineRule="auto"/>
              <w:jc w:val="center"/>
              <w:rPr>
                <w:rFonts w:hint="eastAsia" w:ascii="宋体" w:hAnsi="宋体" w:eastAsia="宋体" w:cs="宋体"/>
                <w:color w:val="000000"/>
                <w:sz w:val="24"/>
                <w:szCs w:val="24"/>
              </w:rPr>
            </w:pPr>
            <w:r>
              <w:rPr>
                <w:rFonts w:hint="eastAsia" w:ascii="宋体" w:hAnsi="宋体" w:eastAsia="宋体" w:cs="宋体"/>
                <w:kern w:val="0"/>
                <w:sz w:val="24"/>
                <w:szCs w:val="24"/>
              </w:rPr>
              <w:t>小写（人民币）</w:t>
            </w:r>
            <w:r>
              <w:rPr>
                <w:rFonts w:ascii="宋体" w:hAnsi="宋体" w:eastAsia="宋体" w:cs="宋体"/>
                <w:kern w:val="0"/>
                <w:sz w:val="24"/>
                <w:szCs w:val="24"/>
              </w:rPr>
              <w:t xml:space="preserve"> </w:t>
            </w:r>
          </w:p>
        </w:tc>
        <w:tc>
          <w:tcPr>
            <w:tcW w:w="4243" w:type="dxa"/>
            <w:gridSpan w:val="4"/>
            <w:noWrap w:val="0"/>
            <w:vAlign w:val="center"/>
          </w:tcPr>
          <w:p w14:paraId="00CDB533">
            <w:pPr>
              <w:spacing w:line="360" w:lineRule="auto"/>
              <w:jc w:val="center"/>
              <w:rPr>
                <w:rFonts w:hint="eastAsia" w:ascii="宋体" w:hAnsi="宋体" w:eastAsia="宋体" w:cs="宋体"/>
                <w:color w:val="000000"/>
                <w:sz w:val="24"/>
                <w:szCs w:val="24"/>
              </w:rPr>
            </w:pPr>
            <w:r>
              <w:rPr>
                <w:rFonts w:hint="eastAsia" w:ascii="宋体" w:hAnsi="宋体" w:eastAsia="宋体" w:cs="宋体"/>
                <w:kern w:val="0"/>
                <w:sz w:val="24"/>
                <w:szCs w:val="24"/>
              </w:rPr>
              <w:t>￥</w:t>
            </w:r>
            <w:r>
              <w:rPr>
                <w:rFonts w:ascii="宋体" w:hAnsi="宋体" w:eastAsia="宋体" w:cs="宋体"/>
                <w:kern w:val="0"/>
                <w:sz w:val="24"/>
                <w:szCs w:val="24"/>
              </w:rPr>
              <w:t>_________________</w:t>
            </w:r>
            <w:r>
              <w:rPr>
                <w:rFonts w:hint="eastAsia" w:ascii="宋体" w:hAnsi="宋体" w:eastAsia="宋体" w:cs="宋体"/>
                <w:kern w:val="0"/>
                <w:sz w:val="24"/>
                <w:szCs w:val="24"/>
              </w:rPr>
              <w:t>元</w:t>
            </w:r>
          </w:p>
        </w:tc>
      </w:tr>
      <w:tr w14:paraId="17A36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19" w:type="dxa"/>
            <w:gridSpan w:val="2"/>
            <w:vMerge w:val="continue"/>
            <w:noWrap w:val="0"/>
            <w:vAlign w:val="center"/>
          </w:tcPr>
          <w:p w14:paraId="21971AB8">
            <w:pPr>
              <w:spacing w:line="360" w:lineRule="auto"/>
              <w:jc w:val="center"/>
              <w:rPr>
                <w:rFonts w:hint="eastAsia" w:ascii="宋体" w:hAnsi="宋体" w:eastAsia="宋体" w:cs="宋体"/>
                <w:color w:val="000000"/>
                <w:sz w:val="24"/>
                <w:szCs w:val="24"/>
                <w:lang w:val="en-US" w:eastAsia="zh-CN"/>
              </w:rPr>
            </w:pPr>
          </w:p>
        </w:tc>
        <w:tc>
          <w:tcPr>
            <w:tcW w:w="3405" w:type="dxa"/>
            <w:noWrap w:val="0"/>
            <w:vAlign w:val="center"/>
          </w:tcPr>
          <w:p w14:paraId="2CB8AE55">
            <w:pPr>
              <w:spacing w:line="360" w:lineRule="auto"/>
              <w:jc w:val="center"/>
              <w:rPr>
                <w:rFonts w:hint="eastAsia" w:ascii="宋体" w:hAnsi="宋体" w:eastAsia="宋体" w:cs="宋体"/>
                <w:color w:val="000000"/>
                <w:sz w:val="24"/>
                <w:szCs w:val="24"/>
              </w:rPr>
            </w:pPr>
            <w:r>
              <w:rPr>
                <w:rFonts w:hint="eastAsia" w:ascii="宋体" w:hAnsi="宋体" w:eastAsia="宋体" w:cs="宋体"/>
                <w:kern w:val="0"/>
                <w:sz w:val="24"/>
                <w:szCs w:val="24"/>
              </w:rPr>
              <w:t>大写（人民币）</w:t>
            </w:r>
          </w:p>
        </w:tc>
        <w:tc>
          <w:tcPr>
            <w:tcW w:w="4243" w:type="dxa"/>
            <w:gridSpan w:val="4"/>
            <w:noWrap w:val="0"/>
            <w:vAlign w:val="center"/>
          </w:tcPr>
          <w:p w14:paraId="7D29804E">
            <w:pPr>
              <w:spacing w:line="360" w:lineRule="auto"/>
              <w:jc w:val="center"/>
              <w:rPr>
                <w:rFonts w:hint="eastAsia" w:ascii="宋体" w:hAnsi="宋体" w:eastAsia="宋体" w:cs="宋体"/>
                <w:color w:val="000000"/>
                <w:sz w:val="24"/>
                <w:szCs w:val="24"/>
              </w:rPr>
            </w:pPr>
          </w:p>
        </w:tc>
      </w:tr>
      <w:tr w14:paraId="32B92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19" w:type="dxa"/>
            <w:gridSpan w:val="2"/>
            <w:noWrap w:val="0"/>
            <w:vAlign w:val="center"/>
          </w:tcPr>
          <w:p w14:paraId="517D8E49">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交货期</w:t>
            </w:r>
          </w:p>
        </w:tc>
        <w:tc>
          <w:tcPr>
            <w:tcW w:w="7648" w:type="dxa"/>
            <w:gridSpan w:val="5"/>
            <w:noWrap w:val="0"/>
            <w:vAlign w:val="center"/>
          </w:tcPr>
          <w:p w14:paraId="165912EF">
            <w:pPr>
              <w:spacing w:line="360" w:lineRule="auto"/>
              <w:jc w:val="center"/>
              <w:rPr>
                <w:rFonts w:hint="eastAsia" w:ascii="宋体" w:hAnsi="宋体" w:eastAsia="宋体" w:cs="宋体"/>
                <w:color w:val="000000"/>
                <w:sz w:val="24"/>
                <w:szCs w:val="24"/>
              </w:rPr>
            </w:pPr>
          </w:p>
        </w:tc>
      </w:tr>
      <w:tr w14:paraId="1A23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19" w:type="dxa"/>
            <w:gridSpan w:val="2"/>
            <w:noWrap w:val="0"/>
            <w:vAlign w:val="center"/>
          </w:tcPr>
          <w:p w14:paraId="089EA0A4">
            <w:pPr>
              <w:pStyle w:val="2"/>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交货地点</w:t>
            </w:r>
          </w:p>
        </w:tc>
        <w:tc>
          <w:tcPr>
            <w:tcW w:w="7648" w:type="dxa"/>
            <w:gridSpan w:val="5"/>
            <w:noWrap w:val="0"/>
            <w:vAlign w:val="center"/>
          </w:tcPr>
          <w:p w14:paraId="1BA26C66">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开平市中心医院指定地点</w:t>
            </w:r>
          </w:p>
        </w:tc>
      </w:tr>
      <w:tr w14:paraId="0760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19" w:type="dxa"/>
            <w:gridSpan w:val="2"/>
            <w:noWrap w:val="0"/>
            <w:vAlign w:val="center"/>
          </w:tcPr>
          <w:p w14:paraId="29A108EE">
            <w:pPr>
              <w:pStyle w:val="2"/>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tc>
        <w:tc>
          <w:tcPr>
            <w:tcW w:w="7648" w:type="dxa"/>
            <w:gridSpan w:val="5"/>
            <w:noWrap w:val="0"/>
            <w:vAlign w:val="center"/>
          </w:tcPr>
          <w:p w14:paraId="5432476F">
            <w:pPr>
              <w:spacing w:line="360" w:lineRule="auto"/>
              <w:jc w:val="center"/>
              <w:rPr>
                <w:rFonts w:hint="eastAsia" w:ascii="宋体" w:hAnsi="宋体" w:eastAsia="宋体" w:cs="宋体"/>
                <w:color w:val="000000"/>
                <w:sz w:val="24"/>
                <w:szCs w:val="24"/>
              </w:rPr>
            </w:pPr>
          </w:p>
        </w:tc>
      </w:tr>
    </w:tbl>
    <w:p w14:paraId="17822282">
      <w:pPr>
        <w:tabs>
          <w:tab w:val="left" w:pos="654"/>
          <w:tab w:val="left" w:pos="1734"/>
          <w:tab w:val="left" w:pos="2814"/>
          <w:tab w:val="left" w:pos="3894"/>
          <w:tab w:val="left" w:pos="5334"/>
          <w:tab w:val="left" w:pos="6414"/>
          <w:tab w:val="left" w:pos="7254"/>
          <w:tab w:val="left" w:pos="8574"/>
          <w:tab w:val="left" w:pos="9654"/>
        </w:tabs>
        <w:spacing w:line="360" w:lineRule="auto"/>
        <w:rPr>
          <w:rFonts w:eastAsia="宋体"/>
          <w:sz w:val="24"/>
          <w:szCs w:val="21"/>
        </w:rPr>
      </w:pPr>
    </w:p>
    <w:p w14:paraId="48F7BB36">
      <w:pPr>
        <w:tabs>
          <w:tab w:val="left" w:pos="654"/>
          <w:tab w:val="left" w:pos="1734"/>
          <w:tab w:val="left" w:pos="2814"/>
          <w:tab w:val="left" w:pos="3894"/>
          <w:tab w:val="left" w:pos="5334"/>
          <w:tab w:val="left" w:pos="6414"/>
          <w:tab w:val="left" w:pos="7254"/>
          <w:tab w:val="left" w:pos="8574"/>
          <w:tab w:val="left" w:pos="9654"/>
        </w:tabs>
        <w:spacing w:line="360" w:lineRule="auto"/>
        <w:rPr>
          <w:rFonts w:eastAsia="宋体"/>
          <w:sz w:val="24"/>
          <w:szCs w:val="21"/>
        </w:rPr>
      </w:pPr>
      <w:r>
        <w:rPr>
          <w:rFonts w:eastAsia="宋体"/>
          <w:sz w:val="24"/>
          <w:szCs w:val="21"/>
        </w:rPr>
        <w:t>要求：</w:t>
      </w:r>
    </w:p>
    <w:p w14:paraId="21F8F21D">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hint="eastAsia" w:eastAsia="宋体"/>
          <w:sz w:val="24"/>
          <w:szCs w:val="21"/>
        </w:rPr>
      </w:pPr>
      <w:r>
        <w:rPr>
          <w:rFonts w:eastAsia="宋体"/>
          <w:sz w:val="24"/>
          <w:szCs w:val="21"/>
        </w:rPr>
        <w:t>1</w:t>
      </w:r>
      <w:r>
        <w:rPr>
          <w:rFonts w:hint="eastAsia" w:eastAsia="宋体"/>
          <w:sz w:val="24"/>
          <w:szCs w:val="21"/>
          <w:lang w:val="en-US" w:eastAsia="zh-CN"/>
        </w:rPr>
        <w:t>.</w:t>
      </w:r>
      <w:r>
        <w:rPr>
          <w:rFonts w:hint="eastAsia" w:eastAsia="宋体"/>
          <w:sz w:val="24"/>
          <w:szCs w:val="21"/>
        </w:rPr>
        <w:t>上述总报</w:t>
      </w:r>
      <w:r>
        <w:rPr>
          <w:rFonts w:hint="eastAsia" w:ascii="宋体" w:hAnsi="宋体" w:eastAsia="宋体" w:cs="宋体"/>
          <w:b w:val="0"/>
          <w:bCs w:val="0"/>
          <w:color w:val="auto"/>
          <w:sz w:val="24"/>
          <w:szCs w:val="24"/>
          <w:highlight w:val="none"/>
          <w:u w:val="none"/>
        </w:rPr>
        <w:t>价应为人民币含税全包价，包括所有</w:t>
      </w:r>
      <w:r>
        <w:rPr>
          <w:rFonts w:hint="eastAsia" w:ascii="宋体" w:hAnsi="宋体" w:eastAsia="宋体" w:cs="宋体"/>
          <w:b w:val="0"/>
          <w:bCs w:val="0"/>
          <w:color w:val="auto"/>
          <w:sz w:val="24"/>
          <w:szCs w:val="24"/>
          <w:highlight w:val="none"/>
          <w:u w:val="none"/>
          <w:lang w:val="en-US" w:eastAsia="zh-CN"/>
        </w:rPr>
        <w:t>安装</w:t>
      </w:r>
      <w:r>
        <w:rPr>
          <w:rFonts w:hint="eastAsia" w:ascii="宋体" w:hAnsi="宋体" w:eastAsia="宋体" w:cs="宋体"/>
          <w:b w:val="0"/>
          <w:bCs w:val="0"/>
          <w:color w:val="auto"/>
          <w:sz w:val="24"/>
          <w:szCs w:val="24"/>
          <w:highlight w:val="none"/>
          <w:u w:val="none"/>
        </w:rPr>
        <w:t>费、人工费、</w:t>
      </w:r>
      <w:r>
        <w:rPr>
          <w:rFonts w:hint="eastAsia" w:ascii="宋体" w:hAnsi="宋体" w:eastAsia="宋体" w:cs="宋体"/>
          <w:b w:val="0"/>
          <w:bCs w:val="0"/>
          <w:color w:val="auto"/>
          <w:sz w:val="24"/>
          <w:szCs w:val="24"/>
          <w:highlight w:val="none"/>
          <w:u w:val="none"/>
          <w:lang w:val="en-US" w:eastAsia="zh-CN"/>
        </w:rPr>
        <w:t>材料费</w:t>
      </w:r>
      <w:r>
        <w:rPr>
          <w:rFonts w:hint="eastAsia" w:ascii="宋体" w:hAnsi="宋体" w:eastAsia="宋体" w:cs="宋体"/>
          <w:b w:val="0"/>
          <w:bCs w:val="0"/>
          <w:color w:val="auto"/>
          <w:sz w:val="24"/>
          <w:szCs w:val="24"/>
          <w:highlight w:val="none"/>
          <w:u w:val="none"/>
        </w:rPr>
        <w:t>、</w:t>
      </w:r>
      <w:r>
        <w:rPr>
          <w:rFonts w:hint="eastAsia" w:ascii="宋体" w:hAnsi="宋体" w:eastAsia="宋体" w:cs="宋体"/>
          <w:b w:val="0"/>
          <w:bCs w:val="0"/>
          <w:color w:val="auto"/>
          <w:sz w:val="24"/>
          <w:szCs w:val="24"/>
          <w:highlight w:val="none"/>
          <w:u w:val="none"/>
          <w:lang w:val="en-US" w:eastAsia="zh-CN"/>
        </w:rPr>
        <w:t>配件费、吊装费、调试费、特种设备检测</w:t>
      </w:r>
      <w:r>
        <w:rPr>
          <w:rFonts w:hint="eastAsia" w:ascii="宋体" w:hAnsi="宋体" w:eastAsia="宋体" w:cs="宋体"/>
          <w:b w:val="0"/>
          <w:bCs w:val="0"/>
          <w:color w:val="auto"/>
          <w:sz w:val="24"/>
          <w:szCs w:val="24"/>
          <w:highlight w:val="none"/>
          <w:u w:val="none"/>
        </w:rPr>
        <w:t>费、</w:t>
      </w:r>
      <w:r>
        <w:rPr>
          <w:rFonts w:hint="eastAsia" w:ascii="宋体" w:hAnsi="宋体" w:eastAsia="宋体" w:cs="宋体"/>
          <w:b w:val="0"/>
          <w:bCs w:val="0"/>
          <w:color w:val="auto"/>
          <w:sz w:val="24"/>
          <w:szCs w:val="24"/>
          <w:highlight w:val="none"/>
          <w:u w:val="none"/>
          <w:lang w:val="en-US" w:eastAsia="zh-CN"/>
        </w:rPr>
        <w:t>办证</w:t>
      </w:r>
      <w:r>
        <w:rPr>
          <w:rFonts w:hint="eastAsia" w:ascii="宋体" w:hAnsi="宋体" w:eastAsia="宋体" w:cs="宋体"/>
          <w:b w:val="0"/>
          <w:bCs w:val="0"/>
          <w:color w:val="auto"/>
          <w:sz w:val="24"/>
          <w:szCs w:val="24"/>
          <w:highlight w:val="none"/>
          <w:u w:val="none"/>
        </w:rPr>
        <w:t>费、税费等一切费用</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包质量、包安全文明施工。响应</w:t>
      </w:r>
      <w:r>
        <w:rPr>
          <w:rFonts w:hint="eastAsia" w:ascii="宋体" w:hAnsi="宋体" w:eastAsia="宋体" w:cs="宋体"/>
          <w:b w:val="0"/>
          <w:bCs w:val="0"/>
          <w:color w:val="auto"/>
          <w:sz w:val="24"/>
          <w:szCs w:val="24"/>
          <w:highlight w:val="none"/>
          <w:u w:val="none"/>
          <w:lang w:val="en-US" w:eastAsia="zh-CN"/>
        </w:rPr>
        <w:t>人</w:t>
      </w:r>
      <w:r>
        <w:rPr>
          <w:rFonts w:hint="eastAsia" w:ascii="宋体" w:hAnsi="宋体" w:eastAsia="宋体" w:cs="宋体"/>
          <w:b w:val="0"/>
          <w:bCs w:val="0"/>
          <w:color w:val="auto"/>
          <w:sz w:val="24"/>
          <w:szCs w:val="24"/>
          <w:highlight w:val="none"/>
          <w:u w:val="none"/>
        </w:rPr>
        <w:t>报价不得超过最高限价，否则作无效投标处理。</w:t>
      </w:r>
    </w:p>
    <w:p w14:paraId="2713B0A9">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hint="eastAsia" w:eastAsia="宋体"/>
          <w:sz w:val="24"/>
          <w:szCs w:val="21"/>
        </w:rPr>
      </w:pPr>
      <w:r>
        <w:rPr>
          <w:rFonts w:hint="eastAsia" w:eastAsia="宋体"/>
          <w:sz w:val="24"/>
          <w:szCs w:val="21"/>
        </w:rPr>
        <w:t>2</w:t>
      </w:r>
      <w:r>
        <w:rPr>
          <w:rFonts w:hint="eastAsia" w:eastAsia="宋体"/>
          <w:sz w:val="24"/>
          <w:szCs w:val="21"/>
          <w:lang w:eastAsia="zh-CN"/>
        </w:rPr>
        <w:t>.</w:t>
      </w:r>
      <w:r>
        <w:rPr>
          <w:rFonts w:hint="eastAsia" w:eastAsia="宋体"/>
          <w:sz w:val="24"/>
          <w:szCs w:val="21"/>
        </w:rPr>
        <w:t>报价应以人民币报价，精确到小数点后两位并用逗号隔开；（例：1,000,000.00元）；</w:t>
      </w:r>
    </w:p>
    <w:p w14:paraId="3AC49F6A">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eastAsia="宋体"/>
          <w:sz w:val="24"/>
          <w:szCs w:val="21"/>
        </w:rPr>
      </w:pPr>
      <w:r>
        <w:rPr>
          <w:rFonts w:hint="eastAsia" w:eastAsia="宋体"/>
          <w:sz w:val="24"/>
          <w:szCs w:val="21"/>
          <w:lang w:val="en-US" w:eastAsia="zh-CN"/>
        </w:rPr>
        <w:t>3.</w:t>
      </w:r>
      <w:r>
        <w:rPr>
          <w:rFonts w:eastAsia="宋体"/>
          <w:sz w:val="24"/>
          <w:szCs w:val="21"/>
        </w:rPr>
        <w:t>供应商认为有必要说明而本表中无相应栏目的，请在“备注”一栏中说明。</w:t>
      </w:r>
    </w:p>
    <w:p w14:paraId="0BADC227">
      <w:pPr>
        <w:tabs>
          <w:tab w:val="left" w:pos="654"/>
          <w:tab w:val="left" w:pos="1734"/>
          <w:tab w:val="left" w:pos="2814"/>
          <w:tab w:val="left" w:pos="3894"/>
          <w:tab w:val="left" w:pos="5334"/>
          <w:tab w:val="left" w:pos="6414"/>
          <w:tab w:val="left" w:pos="7254"/>
          <w:tab w:val="left" w:pos="8574"/>
          <w:tab w:val="left" w:pos="9654"/>
        </w:tabs>
        <w:spacing w:line="360" w:lineRule="auto"/>
        <w:rPr>
          <w:rFonts w:eastAsia="宋体"/>
          <w:sz w:val="24"/>
          <w:szCs w:val="21"/>
        </w:rPr>
      </w:pPr>
      <w:r>
        <w:rPr>
          <w:rFonts w:eastAsia="宋体"/>
          <w:sz w:val="24"/>
          <w:szCs w:val="21"/>
        </w:rPr>
        <w:t xml:space="preserve">  </w:t>
      </w:r>
    </w:p>
    <w:p w14:paraId="53C9B144">
      <w:pPr>
        <w:tabs>
          <w:tab w:val="left" w:pos="654"/>
          <w:tab w:val="left" w:pos="1734"/>
          <w:tab w:val="left" w:pos="2814"/>
          <w:tab w:val="left" w:pos="3894"/>
          <w:tab w:val="left" w:pos="5334"/>
          <w:tab w:val="left" w:pos="6414"/>
          <w:tab w:val="left" w:pos="7254"/>
          <w:tab w:val="left" w:pos="8574"/>
          <w:tab w:val="left" w:pos="9654"/>
        </w:tabs>
        <w:spacing w:line="360" w:lineRule="auto"/>
        <w:rPr>
          <w:rFonts w:eastAsia="宋体"/>
          <w:sz w:val="24"/>
          <w:szCs w:val="21"/>
        </w:rPr>
      </w:pPr>
    </w:p>
    <w:p w14:paraId="683290CA">
      <w:pPr>
        <w:spacing w:line="360" w:lineRule="auto"/>
        <w:ind w:firstLine="480" w:firstLineChars="200"/>
        <w:rPr>
          <w:rFonts w:ascii="宋体" w:hAnsi="宋体" w:eastAsia="宋体"/>
          <w:color w:val="000000" w:themeColor="text1"/>
          <w:sz w:val="24"/>
          <w14:textFill>
            <w14:solidFill>
              <w14:schemeClr w14:val="tx1"/>
            </w14:solidFill>
          </w14:textFill>
        </w:rPr>
      </w:pPr>
      <w:bookmarkStart w:id="197" w:name="_Toc51041295"/>
      <w:r>
        <w:rPr>
          <w:rFonts w:hint="eastAsia" w:ascii="宋体" w:hAnsi="宋体" w:eastAsia="宋体"/>
          <w:color w:val="000000" w:themeColor="text1"/>
          <w:sz w:val="24"/>
          <w14:textFill>
            <w14:solidFill>
              <w14:schemeClr w14:val="tx1"/>
            </w14:solidFill>
          </w14:textFill>
        </w:rPr>
        <w:t>供应商名称：</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（盖公章）</w:t>
      </w:r>
      <w:r>
        <w:rPr>
          <w:rFonts w:ascii="宋体" w:hAnsi="宋体" w:eastAsia="宋体"/>
          <w:color w:val="000000" w:themeColor="text1"/>
          <w:sz w:val="24"/>
          <w14:textFill>
            <w14:solidFill>
              <w14:schemeClr w14:val="tx1"/>
            </w14:solidFill>
          </w14:textFill>
        </w:rPr>
        <w:t xml:space="preserve"> </w:t>
      </w:r>
    </w:p>
    <w:p w14:paraId="3DB81977">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供应商法定代表人（或授权代表）签字或盖章：</w:t>
      </w:r>
      <w:r>
        <w:rPr>
          <w:rFonts w:hint="eastAsia" w:ascii="宋体" w:hAnsi="宋体" w:eastAsia="宋体"/>
          <w:color w:val="000000" w:themeColor="text1"/>
          <w:sz w:val="24"/>
          <w:u w:val="single"/>
          <w14:textFill>
            <w14:solidFill>
              <w14:schemeClr w14:val="tx1"/>
            </w14:solidFill>
          </w14:textFill>
        </w:rPr>
        <w:t xml:space="preserve">               </w:t>
      </w:r>
    </w:p>
    <w:p w14:paraId="6F35235E">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日期：</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年</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月</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日</w:t>
      </w:r>
    </w:p>
    <w:p w14:paraId="6EABE17F">
      <w:pPr>
        <w:rPr>
          <w:rFonts w:eastAsia="宋体"/>
          <w:b/>
          <w:sz w:val="24"/>
          <w:szCs w:val="21"/>
        </w:rPr>
      </w:pPr>
      <w:r>
        <w:rPr>
          <w:rFonts w:eastAsia="宋体"/>
          <w:b/>
          <w:sz w:val="24"/>
          <w:szCs w:val="21"/>
        </w:rPr>
        <w:br w:type="page"/>
      </w:r>
    </w:p>
    <w:p w14:paraId="158BA272">
      <w:pPr>
        <w:spacing w:line="360" w:lineRule="auto"/>
        <w:rPr>
          <w:rFonts w:ascii="宋体" w:hAnsi="宋体" w:cs="宋体"/>
          <w:color w:val="FF0000"/>
          <w:szCs w:val="21"/>
        </w:rPr>
        <w:sectPr>
          <w:footerReference r:id="rId8" w:type="first"/>
          <w:footerReference r:id="rId7" w:type="default"/>
          <w:pgSz w:w="11906" w:h="16838"/>
          <w:pgMar w:top="1440" w:right="1106" w:bottom="1440" w:left="1259" w:header="851" w:footer="992" w:gutter="0"/>
          <w:pgNumType w:fmt="decimal" w:start="2"/>
          <w:cols w:space="720" w:num="1"/>
          <w:titlePg/>
          <w:docGrid w:type="lines" w:linePitch="329" w:charSpace="0"/>
        </w:sectPr>
      </w:pPr>
    </w:p>
    <w:p w14:paraId="41D7B7EB">
      <w:pPr>
        <w:spacing w:line="340" w:lineRule="atLeast"/>
        <w:jc w:val="center"/>
        <w:outlineLvl w:val="0"/>
        <w:rPr>
          <w:rFonts w:hint="eastAsia" w:ascii="宋体" w:hAnsi="宋体" w:eastAsia="宋体" w:cs="宋体"/>
          <w:b/>
          <w:sz w:val="24"/>
          <w:szCs w:val="24"/>
        </w:rPr>
      </w:pPr>
      <w:bookmarkStart w:id="198" w:name="_Toc349642204"/>
      <w:r>
        <w:rPr>
          <w:rFonts w:hint="eastAsia" w:ascii="宋体" w:hAnsi="宋体" w:eastAsia="宋体" w:cs="宋体"/>
          <w:b/>
          <w:sz w:val="24"/>
          <w:szCs w:val="24"/>
          <w:lang w:val="en-US" w:eastAsia="zh-CN"/>
        </w:rPr>
        <w:t>三、</w:t>
      </w:r>
      <w:r>
        <w:rPr>
          <w:rFonts w:hint="eastAsia" w:ascii="宋体" w:hAnsi="宋体" w:eastAsia="宋体" w:cs="宋体"/>
          <w:b/>
          <w:sz w:val="24"/>
          <w:szCs w:val="24"/>
        </w:rPr>
        <w:t>遴选响应</w:t>
      </w:r>
      <w:r>
        <w:rPr>
          <w:rFonts w:hint="eastAsia" w:ascii="宋体" w:hAnsi="宋体" w:eastAsia="宋体" w:cs="宋体"/>
          <w:b/>
          <w:sz w:val="24"/>
          <w:szCs w:val="24"/>
          <w:lang w:val="en-US" w:eastAsia="zh-CN"/>
        </w:rPr>
        <w:t>承诺</w:t>
      </w:r>
      <w:r>
        <w:rPr>
          <w:rFonts w:hint="eastAsia" w:ascii="宋体" w:hAnsi="宋体" w:eastAsia="宋体" w:cs="宋体"/>
          <w:b/>
          <w:sz w:val="24"/>
          <w:szCs w:val="24"/>
        </w:rPr>
        <w:t>函</w:t>
      </w:r>
      <w:bookmarkEnd w:id="198"/>
    </w:p>
    <w:p w14:paraId="25A52089">
      <w:pPr>
        <w:spacing w:line="500" w:lineRule="exac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b/>
          <w:sz w:val="24"/>
          <w:szCs w:val="24"/>
          <w:u w:val="single"/>
        </w:rPr>
        <w:t xml:space="preserve">开平市中心医院 </w:t>
      </w:r>
      <w:r>
        <w:rPr>
          <w:rFonts w:hint="eastAsia" w:ascii="宋体" w:hAnsi="宋体" w:eastAsia="宋体" w:cs="宋体"/>
          <w:sz w:val="24"/>
          <w:szCs w:val="24"/>
        </w:rPr>
        <w:t>：</w:t>
      </w:r>
    </w:p>
    <w:p w14:paraId="5570F0E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在参与</w:t>
      </w:r>
      <w:r>
        <w:rPr>
          <w:rFonts w:hint="eastAsia" w:ascii="宋体" w:hAnsi="宋体" w:eastAsia="宋体" w:cs="宋体"/>
          <w:sz w:val="24"/>
          <w:lang w:eastAsia="zh-CN"/>
        </w:rPr>
        <w:t>开平市中心医院病案密集架采购项目</w:t>
      </w:r>
      <w:r>
        <w:rPr>
          <w:rFonts w:hint="eastAsia" w:ascii="宋体" w:hAnsi="宋体" w:eastAsia="宋体" w:cs="宋体"/>
          <w:sz w:val="24"/>
        </w:rPr>
        <w:t>的遴选活动中，我公司郑重承诺：</w:t>
      </w:r>
    </w:p>
    <w:p w14:paraId="468A5EB3">
      <w:pPr>
        <w:pStyle w:val="22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一、遵循公开、公平、公正和诚实信用的原则参加本项目的遴选响应；</w:t>
      </w:r>
    </w:p>
    <w:p w14:paraId="7C5BA557">
      <w:pPr>
        <w:pStyle w:val="22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二、不在遴选响应文件中提供虚假材料，承诺所提供的一切材料都是真实、有效、合法的；</w:t>
      </w:r>
    </w:p>
    <w:p w14:paraId="46BBBFE3">
      <w:pPr>
        <w:pStyle w:val="22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三、不与其他遴选响应人相互串通响应，排斥其他遴选响应人的公平竞争，损害遴选人或其他遴选响应人的合法利益；</w:t>
      </w:r>
    </w:p>
    <w:p w14:paraId="16C8554C">
      <w:pPr>
        <w:pStyle w:val="22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四、不与遴选人串通响应，损害国家利益、社会公共利益或者他人的合法权益；</w:t>
      </w:r>
    </w:p>
    <w:p w14:paraId="492B341E">
      <w:pPr>
        <w:pStyle w:val="22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五、不对遴选人及遴选委员会成员进行任何形式的行贿以牟取成交；</w:t>
      </w:r>
    </w:p>
    <w:p w14:paraId="50AE0A4A">
      <w:pPr>
        <w:pStyle w:val="22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六、不以他人名义响应或者以其他方式弄虚作假，骗取成交；</w:t>
      </w:r>
    </w:p>
    <w:p w14:paraId="72F56C9D">
      <w:pPr>
        <w:pStyle w:val="22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七、不出卖资质，让他人挂靠响应；</w:t>
      </w:r>
    </w:p>
    <w:p w14:paraId="0307BC5C">
      <w:pPr>
        <w:pStyle w:val="22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八、不恶意压低或抬高响应报价；</w:t>
      </w:r>
    </w:p>
    <w:p w14:paraId="5DF4ED50">
      <w:pPr>
        <w:pStyle w:val="22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九、不在遴选结束后进行虚假恶意投诉；</w:t>
      </w:r>
    </w:p>
    <w:p w14:paraId="7978862F">
      <w:pPr>
        <w:pStyle w:val="22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十、若我方成交，除因不可抗力或遴选文件认可的情形以外，不无故放弃成交项目，不在签订合同时提出附加条件或者更改合同实质性内容。无故未按时（即超出成交结果公示期满后15日历天）领取成交通知书，无故未按时（即超出领取成交通知书后30日历天）与遴选人签订合同，视为我方无故放弃成交权利；</w:t>
      </w:r>
    </w:p>
    <w:p w14:paraId="311FEC96">
      <w:pPr>
        <w:pStyle w:val="22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十一、本公司若有违反本承诺内容的行为，愿意承担由此引起的一切后果和相应的法律责任。</w:t>
      </w:r>
    </w:p>
    <w:p w14:paraId="424C17ED">
      <w:pPr>
        <w:spacing w:line="360" w:lineRule="auto"/>
        <w:ind w:firstLine="480" w:firstLineChars="200"/>
        <w:rPr>
          <w:rFonts w:hint="eastAsia" w:ascii="宋体" w:hAnsi="宋体" w:eastAsia="宋体"/>
          <w:color w:val="000000" w:themeColor="text1"/>
          <w:sz w:val="24"/>
          <w14:textFill>
            <w14:solidFill>
              <w14:schemeClr w14:val="tx1"/>
            </w14:solidFill>
          </w14:textFill>
        </w:rPr>
      </w:pPr>
    </w:p>
    <w:p w14:paraId="4557F580">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供应商名称：</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（盖公章）</w:t>
      </w:r>
      <w:r>
        <w:rPr>
          <w:rFonts w:ascii="宋体" w:hAnsi="宋体" w:eastAsia="宋体"/>
          <w:color w:val="000000" w:themeColor="text1"/>
          <w:sz w:val="24"/>
          <w14:textFill>
            <w14:solidFill>
              <w14:schemeClr w14:val="tx1"/>
            </w14:solidFill>
          </w14:textFill>
        </w:rPr>
        <w:t xml:space="preserve"> </w:t>
      </w:r>
    </w:p>
    <w:p w14:paraId="4A57CC40">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供应商法定代表人（或授权代表）签字或盖章：</w:t>
      </w:r>
      <w:r>
        <w:rPr>
          <w:rFonts w:hint="eastAsia" w:ascii="宋体" w:hAnsi="宋体" w:eastAsia="宋体"/>
          <w:color w:val="000000" w:themeColor="text1"/>
          <w:sz w:val="24"/>
          <w:u w:val="single"/>
          <w14:textFill>
            <w14:solidFill>
              <w14:schemeClr w14:val="tx1"/>
            </w14:solidFill>
          </w14:textFill>
        </w:rPr>
        <w:t xml:space="preserve">               </w:t>
      </w:r>
    </w:p>
    <w:p w14:paraId="448BCB51">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日期：</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年</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月</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日</w:t>
      </w:r>
    </w:p>
    <w:bookmarkEnd w:id="197"/>
    <w:p w14:paraId="35338D69">
      <w:pPr>
        <w:rPr>
          <w:rFonts w:ascii="Times New Roman" w:hAnsi="Times New Roman" w:eastAsia="宋体"/>
          <w:bCs/>
          <w:sz w:val="24"/>
          <w:szCs w:val="21"/>
        </w:rPr>
      </w:pPr>
      <w:bookmarkStart w:id="199" w:name="_Toc169861828"/>
      <w:bookmarkStart w:id="200" w:name="_Toc520220206"/>
      <w:bookmarkStart w:id="201" w:name="_Toc480010742"/>
      <w:bookmarkStart w:id="202" w:name="_Toc480020289"/>
      <w:bookmarkStart w:id="203" w:name="_Toc468157569"/>
      <w:bookmarkStart w:id="204" w:name="_Toc468606064"/>
      <w:bookmarkStart w:id="205" w:name="_Toc479991616"/>
      <w:bookmarkStart w:id="206" w:name="_Toc467987856"/>
      <w:bookmarkStart w:id="207" w:name="_Toc480021085"/>
      <w:r>
        <w:rPr>
          <w:rFonts w:ascii="Times New Roman" w:hAnsi="Times New Roman" w:eastAsia="宋体"/>
          <w:bCs/>
          <w:sz w:val="24"/>
          <w:szCs w:val="21"/>
        </w:rPr>
        <w:br w:type="page"/>
      </w:r>
    </w:p>
    <w:p w14:paraId="5DBB839F">
      <w:pPr>
        <w:rPr>
          <w:rFonts w:ascii="Times New Roman" w:hAnsi="Times New Roman" w:eastAsia="宋体"/>
          <w:bCs/>
          <w:sz w:val="24"/>
          <w:szCs w:val="21"/>
        </w:rPr>
      </w:pPr>
    </w:p>
    <w:bookmarkEnd w:id="199"/>
    <w:bookmarkEnd w:id="200"/>
    <w:p w14:paraId="761EE43E">
      <w:pPr>
        <w:pStyle w:val="4"/>
        <w:keepNext w:val="0"/>
        <w:keepLines w:val="0"/>
        <w:spacing w:before="0" w:after="0" w:line="360" w:lineRule="auto"/>
        <w:jc w:val="center"/>
        <w:rPr>
          <w:rFonts w:hint="default" w:ascii="Times New Roman" w:hAnsi="Times New Roman" w:eastAsia="宋体"/>
          <w:sz w:val="24"/>
          <w:szCs w:val="21"/>
          <w:lang w:val="en-US" w:eastAsia="zh-CN"/>
        </w:rPr>
      </w:pPr>
      <w:bookmarkStart w:id="208" w:name="_Toc169861829"/>
      <w:r>
        <w:rPr>
          <w:rFonts w:hint="eastAsia" w:ascii="Times New Roman" w:hAnsi="Times New Roman" w:eastAsia="宋体"/>
          <w:bCs/>
          <w:sz w:val="24"/>
          <w:szCs w:val="21"/>
          <w:lang w:val="en-US" w:eastAsia="zh-CN"/>
        </w:rPr>
        <w:t>四</w:t>
      </w:r>
      <w:r>
        <w:rPr>
          <w:rFonts w:ascii="Times New Roman" w:hAnsi="Times New Roman" w:eastAsia="宋体"/>
          <w:bCs/>
          <w:sz w:val="24"/>
          <w:szCs w:val="21"/>
        </w:rPr>
        <w:t>、</w:t>
      </w:r>
      <w:bookmarkEnd w:id="201"/>
      <w:bookmarkEnd w:id="202"/>
      <w:bookmarkEnd w:id="203"/>
      <w:bookmarkEnd w:id="204"/>
      <w:bookmarkEnd w:id="205"/>
      <w:bookmarkEnd w:id="206"/>
      <w:bookmarkEnd w:id="207"/>
      <w:bookmarkEnd w:id="208"/>
      <w:bookmarkStart w:id="209" w:name="_Toc480020290"/>
      <w:bookmarkStart w:id="210" w:name="_Toc480010743"/>
      <w:bookmarkStart w:id="211" w:name="_Toc110953865"/>
      <w:bookmarkStart w:id="212" w:name="_Toc467987857"/>
      <w:bookmarkStart w:id="213" w:name="_Toc35233726"/>
      <w:bookmarkStart w:id="214" w:name="_Toc479991617"/>
      <w:bookmarkStart w:id="215" w:name="_Toc480171915"/>
      <w:bookmarkStart w:id="216" w:name="_Toc467236774"/>
      <w:bookmarkStart w:id="217" w:name="_Toc468606065"/>
      <w:bookmarkStart w:id="218" w:name="_Toc458262644"/>
      <w:bookmarkStart w:id="219" w:name="_Toc480021086"/>
      <w:bookmarkStart w:id="220" w:name="_Toc468157570"/>
      <w:bookmarkStart w:id="221" w:name="_Toc454701411"/>
      <w:r>
        <w:rPr>
          <w:rFonts w:hint="eastAsia" w:ascii="Times New Roman" w:hAnsi="Times New Roman" w:eastAsia="宋体"/>
          <w:bCs/>
          <w:sz w:val="24"/>
          <w:szCs w:val="21"/>
          <w:lang w:val="en-US" w:eastAsia="zh-CN"/>
        </w:rPr>
        <w:t>供货、质量保证书</w:t>
      </w:r>
    </w:p>
    <w:p w14:paraId="7F7A52EE">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b/>
          <w:bCs/>
          <w:sz w:val="24"/>
          <w:szCs w:val="21"/>
        </w:rPr>
      </w:pPr>
    </w:p>
    <w:p w14:paraId="07B29857">
      <w:pPr>
        <w:spacing w:line="500" w:lineRule="exact"/>
        <w:rPr>
          <w:rFonts w:hint="eastAsia" w:ascii="宋体" w:hAnsi="宋体" w:eastAsia="宋体" w:cs="宋体"/>
          <w:color w:val="333333"/>
          <w:kern w:val="0"/>
          <w:sz w:val="24"/>
          <w:szCs w:val="24"/>
          <w:lang w:eastAsia="zh-CN"/>
        </w:rPr>
      </w:pPr>
      <w:r>
        <w:rPr>
          <w:rFonts w:hint="eastAsia" w:ascii="宋体" w:hAnsi="宋体" w:eastAsia="宋体" w:cs="宋体"/>
          <w:sz w:val="24"/>
          <w:szCs w:val="24"/>
        </w:rPr>
        <w:t>致</w:t>
      </w:r>
      <w:r>
        <w:rPr>
          <w:rFonts w:hint="eastAsia" w:ascii="宋体" w:hAnsi="宋体" w:eastAsia="宋体" w:cs="宋体"/>
          <w:b/>
          <w:sz w:val="24"/>
          <w:szCs w:val="24"/>
          <w:u w:val="single"/>
        </w:rPr>
        <w:t xml:space="preserve">开平市中心医院 </w:t>
      </w:r>
      <w:r>
        <w:rPr>
          <w:rFonts w:hint="eastAsia" w:ascii="宋体" w:hAnsi="宋体" w:eastAsia="宋体" w:cs="宋体"/>
          <w:sz w:val="24"/>
          <w:szCs w:val="24"/>
        </w:rPr>
        <w:t>：</w:t>
      </w:r>
    </w:p>
    <w:p w14:paraId="46DFD678">
      <w:pPr>
        <w:keepNext w:val="0"/>
        <w:keepLines w:val="0"/>
        <w:pageBreakBefore w:val="0"/>
        <w:kinsoku/>
        <w:wordWrap/>
        <w:overflowPunct/>
        <w:topLinePunct w:val="0"/>
        <w:autoSpaceDE w:val="0"/>
        <w:autoSpaceDN w:val="0"/>
        <w:bidi w:val="0"/>
        <w:adjustRightInd w:val="0"/>
        <w:snapToGrid w:val="0"/>
        <w:spacing w:line="480" w:lineRule="exact"/>
        <w:ind w:firstLine="480" w:firstLineChars="200"/>
        <w:textAlignment w:val="auto"/>
        <w:outlineLvl w:val="0"/>
        <w:rPr>
          <w:rFonts w:hint="eastAsia" w:ascii="宋体" w:hAnsi="宋体" w:eastAsia="宋体" w:cs="宋体"/>
          <w:sz w:val="24"/>
          <w:szCs w:val="24"/>
          <w:u w:val="single"/>
        </w:rPr>
      </w:pPr>
      <w:bookmarkStart w:id="222" w:name="_Toc349642208"/>
      <w:bookmarkStart w:id="223" w:name="_Toc337554698"/>
      <w:r>
        <w:rPr>
          <w:rFonts w:hint="eastAsia" w:ascii="宋体" w:hAnsi="宋体" w:eastAsia="宋体" w:cs="宋体"/>
          <w:sz w:val="24"/>
          <w:szCs w:val="24"/>
        </w:rPr>
        <w:t>作为销售/生产（所响应产品名称）</w:t>
      </w:r>
      <w:r>
        <w:rPr>
          <w:rFonts w:hint="eastAsia" w:ascii="宋体" w:hAnsi="宋体" w:eastAsia="宋体" w:cs="宋体"/>
          <w:sz w:val="24"/>
          <w:szCs w:val="24"/>
          <w:u w:val="single"/>
        </w:rPr>
        <w:t>　　　　　　　　　　</w:t>
      </w:r>
      <w:r>
        <w:rPr>
          <w:rFonts w:hint="eastAsia" w:ascii="宋体" w:hAnsi="宋体" w:eastAsia="宋体" w:cs="宋体"/>
          <w:sz w:val="24"/>
          <w:szCs w:val="24"/>
        </w:rPr>
        <w:t xml:space="preserve">的企业(企业名称): </w:t>
      </w:r>
      <w:r>
        <w:rPr>
          <w:rFonts w:hint="eastAsia" w:ascii="宋体" w:hAnsi="宋体" w:eastAsia="宋体" w:cs="宋体"/>
          <w:sz w:val="24"/>
          <w:szCs w:val="24"/>
          <w:u w:val="single"/>
        </w:rPr>
        <w:t>　　　　　　　　　　　　　　　　　</w:t>
      </w:r>
      <w:r>
        <w:rPr>
          <w:rFonts w:hint="eastAsia" w:ascii="宋体" w:hAnsi="宋体" w:eastAsia="宋体" w:cs="宋体"/>
          <w:sz w:val="24"/>
          <w:szCs w:val="24"/>
        </w:rPr>
        <w:t>，我单位同意上述产品参与开平市中心医院</w:t>
      </w:r>
      <w:r>
        <w:rPr>
          <w:rFonts w:hint="eastAsia" w:ascii="宋体" w:hAnsi="宋体" w:eastAsia="宋体" w:cs="宋体"/>
          <w:sz w:val="24"/>
          <w:szCs w:val="24"/>
          <w:lang w:eastAsia="zh-CN"/>
        </w:rPr>
        <w:t>开平市中心医院病案密集架采购项目</w:t>
      </w:r>
      <w:r>
        <w:rPr>
          <w:rFonts w:hint="eastAsia" w:ascii="宋体" w:hAnsi="宋体" w:eastAsia="宋体" w:cs="宋体"/>
          <w:sz w:val="24"/>
          <w:szCs w:val="24"/>
        </w:rPr>
        <w:t>的遴选工作。根据遴选文件的规定，我单位的产品在遴选项目中，一旦成交并依法签订购销合同后,我单位保证:上述产品的生产标准达到产品执行标准和遴选响应文件响应程度，响应有效期及合同签订有效期内,保证按遴选文件、遴选响应文件响应要求及合同等具体要求向遴选人提供产品。如有违反,愿依法承担违约责任。</w:t>
      </w:r>
      <w:bookmarkEnd w:id="222"/>
      <w:bookmarkEnd w:id="223"/>
    </w:p>
    <w:p w14:paraId="56967DDA">
      <w:pPr>
        <w:keepNext w:val="0"/>
        <w:keepLines w:val="0"/>
        <w:pageBreakBefore w:val="0"/>
        <w:kinsoku/>
        <w:wordWrap/>
        <w:overflowPunct/>
        <w:topLinePunct w:val="0"/>
        <w:autoSpaceDE w:val="0"/>
        <w:autoSpaceDN w:val="0"/>
        <w:bidi w:val="0"/>
        <w:adjustRightInd w:val="0"/>
        <w:snapToGrid w:val="0"/>
        <w:spacing w:line="480" w:lineRule="exact"/>
        <w:ind w:firstLine="480" w:firstLineChars="200"/>
        <w:textAlignment w:val="auto"/>
        <w:outlineLvl w:val="0"/>
        <w:rPr>
          <w:rFonts w:hint="eastAsia" w:ascii="宋体" w:hAnsi="宋体" w:eastAsia="宋体" w:cs="宋体"/>
          <w:sz w:val="24"/>
          <w:szCs w:val="24"/>
          <w:u w:val="single"/>
        </w:rPr>
      </w:pPr>
      <w:bookmarkStart w:id="224" w:name="_Toc337554699"/>
      <w:bookmarkStart w:id="225" w:name="_Toc349642209"/>
      <w:r>
        <w:rPr>
          <w:rFonts w:hint="eastAsia" w:ascii="宋体" w:hAnsi="宋体" w:eastAsia="宋体" w:cs="宋体"/>
          <w:sz w:val="24"/>
          <w:szCs w:val="24"/>
        </w:rPr>
        <w:t>我单位保证出具的产品质量及货源保证书真实,合法,并愿承担一切法律责任。</w:t>
      </w:r>
      <w:bookmarkEnd w:id="224"/>
      <w:bookmarkEnd w:id="225"/>
    </w:p>
    <w:p w14:paraId="2A095391">
      <w:pPr>
        <w:keepNext w:val="0"/>
        <w:keepLines w:val="0"/>
        <w:pageBreakBefore w:val="0"/>
        <w:kinsoku/>
        <w:wordWrap/>
        <w:overflowPunct/>
        <w:topLinePunct w:val="0"/>
        <w:bidi w:val="0"/>
        <w:adjustRightInd w:val="0"/>
        <w:snapToGrid w:val="0"/>
        <w:spacing w:line="480" w:lineRule="exact"/>
        <w:ind w:firstLine="480" w:firstLineChars="200"/>
        <w:textAlignment w:val="auto"/>
        <w:rPr>
          <w:rFonts w:hint="eastAsia" w:ascii="宋体" w:hAnsi="宋体" w:eastAsia="宋体" w:cs="宋体"/>
          <w:sz w:val="24"/>
          <w:szCs w:val="24"/>
        </w:rPr>
      </w:pPr>
      <w:bookmarkStart w:id="226" w:name="_Toc337554700"/>
      <w:bookmarkStart w:id="227" w:name="_Toc349642210"/>
      <w:r>
        <w:rPr>
          <w:rFonts w:hint="eastAsia" w:ascii="宋体" w:hAnsi="宋体" w:eastAsia="宋体" w:cs="宋体"/>
          <w:sz w:val="24"/>
          <w:szCs w:val="24"/>
        </w:rPr>
        <w:t>本保证书有效期限为：</w:t>
      </w:r>
      <w:bookmarkEnd w:id="226"/>
      <w:bookmarkEnd w:id="227"/>
      <w:r>
        <w:rPr>
          <w:rFonts w:hint="eastAsia" w:ascii="宋体" w:hAnsi="宋体" w:eastAsia="宋体" w:cs="宋体"/>
          <w:sz w:val="24"/>
          <w:szCs w:val="24"/>
        </w:rPr>
        <w:t>遴选之日起60天的遴选响应有效期内。如果成交，有效期延长至合同终止日止。</w:t>
      </w:r>
    </w:p>
    <w:p w14:paraId="56180BE9">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6167700E">
      <w:pPr>
        <w:tabs>
          <w:tab w:val="left" w:pos="654"/>
          <w:tab w:val="left" w:pos="1734"/>
          <w:tab w:val="left" w:pos="2814"/>
          <w:tab w:val="left" w:pos="3894"/>
          <w:tab w:val="left" w:pos="5334"/>
          <w:tab w:val="left" w:pos="6414"/>
          <w:tab w:val="left" w:pos="7254"/>
          <w:tab w:val="left" w:pos="8574"/>
          <w:tab w:val="left" w:pos="9654"/>
        </w:tabs>
        <w:spacing w:line="360" w:lineRule="auto"/>
        <w:rPr>
          <w:rFonts w:eastAsia="宋体"/>
          <w:sz w:val="24"/>
          <w:szCs w:val="21"/>
        </w:rPr>
      </w:pPr>
    </w:p>
    <w:p w14:paraId="0339AEBD">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0FDED85E">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0C2E265E">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747D699E">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供应商名称：</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（盖公章）</w:t>
      </w:r>
      <w:r>
        <w:rPr>
          <w:rFonts w:ascii="宋体" w:hAnsi="宋体" w:eastAsia="宋体"/>
          <w:color w:val="000000" w:themeColor="text1"/>
          <w:sz w:val="24"/>
          <w14:textFill>
            <w14:solidFill>
              <w14:schemeClr w14:val="tx1"/>
            </w14:solidFill>
          </w14:textFill>
        </w:rPr>
        <w:t xml:space="preserve"> </w:t>
      </w:r>
    </w:p>
    <w:p w14:paraId="1F584914">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供应商法定代表人（或授权代表）签字或盖章：</w:t>
      </w:r>
      <w:r>
        <w:rPr>
          <w:rFonts w:hint="eastAsia" w:ascii="宋体" w:hAnsi="宋体" w:eastAsia="宋体"/>
          <w:color w:val="000000" w:themeColor="text1"/>
          <w:sz w:val="24"/>
          <w:u w:val="single"/>
          <w14:textFill>
            <w14:solidFill>
              <w14:schemeClr w14:val="tx1"/>
            </w14:solidFill>
          </w14:textFill>
        </w:rPr>
        <w:t xml:space="preserve">               </w:t>
      </w:r>
    </w:p>
    <w:p w14:paraId="778FF33C">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日期：</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年</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月</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日</w:t>
      </w:r>
    </w:p>
    <w:p w14:paraId="16CFD139">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56009395">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0FA3DE81">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4D49ED51">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6DBA7001">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582FEA94">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7571A86C">
      <w:pPr>
        <w:pStyle w:val="4"/>
        <w:keepNext w:val="0"/>
        <w:keepLines w:val="0"/>
        <w:spacing w:before="0" w:after="0" w:line="360" w:lineRule="auto"/>
        <w:jc w:val="center"/>
        <w:rPr>
          <w:rFonts w:eastAsia="宋体"/>
          <w:b w:val="0"/>
          <w:bCs/>
          <w:sz w:val="24"/>
          <w:szCs w:val="21"/>
        </w:rPr>
      </w:pPr>
      <w:r>
        <w:rPr>
          <w:rFonts w:ascii="Times New Roman" w:hAnsi="Times New Roman" w:eastAsia="宋体"/>
          <w:bCs/>
          <w:sz w:val="24"/>
          <w:szCs w:val="21"/>
        </w:rPr>
        <w:br w:type="page"/>
      </w:r>
      <w:bookmarkEnd w:id="209"/>
      <w:bookmarkEnd w:id="210"/>
      <w:bookmarkEnd w:id="211"/>
      <w:bookmarkEnd w:id="212"/>
      <w:bookmarkEnd w:id="213"/>
      <w:bookmarkEnd w:id="214"/>
      <w:bookmarkEnd w:id="215"/>
      <w:bookmarkEnd w:id="216"/>
      <w:bookmarkEnd w:id="217"/>
      <w:bookmarkEnd w:id="218"/>
      <w:bookmarkEnd w:id="219"/>
      <w:bookmarkEnd w:id="220"/>
      <w:bookmarkEnd w:id="221"/>
      <w:bookmarkStart w:id="228" w:name="_Toc169861831"/>
      <w:r>
        <w:rPr>
          <w:rFonts w:hint="eastAsia" w:eastAsia="宋体"/>
          <w:b/>
          <w:bCs w:val="0"/>
          <w:sz w:val="24"/>
          <w:szCs w:val="21"/>
          <w:lang w:val="en-US" w:eastAsia="zh-CN"/>
        </w:rPr>
        <w:t>五</w:t>
      </w:r>
      <w:r>
        <w:rPr>
          <w:rFonts w:hint="eastAsia" w:ascii="Times New Roman" w:hAnsi="Times New Roman" w:eastAsia="宋体"/>
          <w:b/>
          <w:bCs w:val="0"/>
          <w:sz w:val="24"/>
          <w:szCs w:val="21"/>
        </w:rPr>
        <w:t>、</w:t>
      </w:r>
      <w:r>
        <w:rPr>
          <w:rFonts w:hint="eastAsia" w:ascii="Times New Roman" w:hAnsi="Times New Roman" w:eastAsia="宋体"/>
          <w:b/>
          <w:bCs w:val="0"/>
          <w:sz w:val="24"/>
          <w:szCs w:val="21"/>
          <w:lang w:val="en-US" w:eastAsia="zh-CN"/>
        </w:rPr>
        <w:t>近三年来响应产品的销售业绩</w:t>
      </w:r>
      <w:r>
        <w:rPr>
          <w:rFonts w:hint="eastAsia" w:ascii="Times New Roman" w:hAnsi="Times New Roman" w:eastAsia="宋体"/>
          <w:b/>
          <w:bCs w:val="0"/>
          <w:sz w:val="24"/>
          <w:szCs w:val="21"/>
        </w:rPr>
        <w:t>一览表</w:t>
      </w:r>
      <w:bookmarkEnd w:id="228"/>
    </w:p>
    <w:p w14:paraId="75A7C0F4">
      <w:pPr>
        <w:pStyle w:val="23"/>
        <w:spacing w:line="360" w:lineRule="auto"/>
        <w:rPr>
          <w:rFonts w:ascii="Times New Roman" w:hAnsi="Times New Roman"/>
          <w:b/>
          <w:sz w:val="24"/>
          <w:szCs w:val="21"/>
        </w:rPr>
      </w:pP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119"/>
        <w:gridCol w:w="2164"/>
        <w:gridCol w:w="2386"/>
      </w:tblGrid>
      <w:tr w14:paraId="6C920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7C3EC6E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bCs/>
                <w:sz w:val="24"/>
                <w:szCs w:val="24"/>
              </w:rPr>
            </w:pPr>
            <w:r>
              <w:rPr>
                <w:rFonts w:ascii="宋体" w:hAnsi="宋体" w:eastAsia="宋体"/>
                <w:bCs/>
                <w:sz w:val="24"/>
                <w:szCs w:val="24"/>
              </w:rPr>
              <w:t>序号</w:t>
            </w:r>
          </w:p>
        </w:tc>
        <w:tc>
          <w:tcPr>
            <w:tcW w:w="3119" w:type="dxa"/>
            <w:tcBorders>
              <w:top w:val="single" w:color="auto" w:sz="4" w:space="0"/>
              <w:left w:val="single" w:color="auto" w:sz="4" w:space="0"/>
              <w:bottom w:val="single" w:color="auto" w:sz="4" w:space="0"/>
              <w:right w:val="single" w:color="auto" w:sz="4" w:space="0"/>
            </w:tcBorders>
            <w:vAlign w:val="center"/>
          </w:tcPr>
          <w:p w14:paraId="5C0078E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bCs/>
                <w:sz w:val="24"/>
                <w:szCs w:val="24"/>
                <w:lang w:val="en-US" w:eastAsia="zh-CN"/>
              </w:rPr>
            </w:pPr>
            <w:r>
              <w:rPr>
                <w:rFonts w:hint="eastAsia" w:ascii="宋体" w:hAnsi="宋体" w:eastAsia="宋体"/>
                <w:bCs/>
                <w:sz w:val="24"/>
                <w:szCs w:val="24"/>
                <w:lang w:val="en-US" w:eastAsia="zh-CN"/>
              </w:rPr>
              <w:t>项目名称</w:t>
            </w:r>
          </w:p>
        </w:tc>
        <w:tc>
          <w:tcPr>
            <w:tcW w:w="2164" w:type="dxa"/>
            <w:tcBorders>
              <w:top w:val="single" w:color="auto" w:sz="4" w:space="0"/>
              <w:left w:val="single" w:color="auto" w:sz="4" w:space="0"/>
              <w:bottom w:val="single" w:color="auto" w:sz="4" w:space="0"/>
              <w:right w:val="single" w:color="auto" w:sz="4" w:space="0"/>
            </w:tcBorders>
            <w:vAlign w:val="center"/>
          </w:tcPr>
          <w:p w14:paraId="5E569E7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bCs/>
                <w:sz w:val="24"/>
                <w:szCs w:val="24"/>
                <w:lang w:val="en-US" w:eastAsia="zh-CN"/>
              </w:rPr>
            </w:pPr>
            <w:r>
              <w:rPr>
                <w:rFonts w:hint="eastAsia" w:ascii="宋体" w:hAnsi="宋体" w:eastAsia="宋体"/>
                <w:bCs/>
                <w:sz w:val="24"/>
                <w:szCs w:val="24"/>
                <w:lang w:val="en-US" w:eastAsia="zh-CN"/>
              </w:rPr>
              <w:t>采购单位</w:t>
            </w:r>
          </w:p>
        </w:tc>
        <w:tc>
          <w:tcPr>
            <w:tcW w:w="2386" w:type="dxa"/>
            <w:tcBorders>
              <w:top w:val="single" w:color="auto" w:sz="4" w:space="0"/>
              <w:left w:val="single" w:color="auto" w:sz="4" w:space="0"/>
              <w:bottom w:val="single" w:color="auto" w:sz="4" w:space="0"/>
              <w:right w:val="single" w:color="auto" w:sz="4" w:space="0"/>
            </w:tcBorders>
            <w:vAlign w:val="center"/>
          </w:tcPr>
          <w:p w14:paraId="6D2464C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Cs/>
                <w:sz w:val="24"/>
                <w:szCs w:val="24"/>
              </w:rPr>
            </w:pPr>
            <w:r>
              <w:rPr>
                <w:rFonts w:hint="eastAsia" w:ascii="宋体" w:hAnsi="宋体" w:eastAsia="宋体"/>
                <w:bCs/>
                <w:sz w:val="24"/>
                <w:szCs w:val="24"/>
              </w:rPr>
              <w:t>合同签订日期</w:t>
            </w:r>
          </w:p>
        </w:tc>
      </w:tr>
      <w:tr w14:paraId="697A2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738AE10D">
            <w:pPr>
              <w:pStyle w:val="23"/>
              <w:spacing w:line="360" w:lineRule="auto"/>
              <w:jc w:val="center"/>
              <w:rPr>
                <w:rFonts w:hAnsi="宋体"/>
                <w:bCs/>
                <w:sz w:val="24"/>
                <w:szCs w:val="24"/>
              </w:rPr>
            </w:pPr>
            <w:r>
              <w:rPr>
                <w:rFonts w:hAnsi="宋体"/>
                <w:bCs/>
                <w:sz w:val="24"/>
                <w:szCs w:val="24"/>
              </w:rPr>
              <w:t>1</w:t>
            </w:r>
          </w:p>
        </w:tc>
        <w:tc>
          <w:tcPr>
            <w:tcW w:w="3119" w:type="dxa"/>
            <w:tcBorders>
              <w:top w:val="single" w:color="auto" w:sz="4" w:space="0"/>
              <w:left w:val="single" w:color="auto" w:sz="4" w:space="0"/>
              <w:bottom w:val="single" w:color="auto" w:sz="4" w:space="0"/>
              <w:right w:val="single" w:color="auto" w:sz="4" w:space="0"/>
            </w:tcBorders>
            <w:vAlign w:val="center"/>
          </w:tcPr>
          <w:p w14:paraId="0B1B46FE">
            <w:pPr>
              <w:adjustRightInd w:val="0"/>
              <w:snapToGrid w:val="0"/>
              <w:spacing w:line="360" w:lineRule="auto"/>
              <w:jc w:val="center"/>
              <w:rPr>
                <w:rFonts w:ascii="宋体" w:hAnsi="宋体" w:eastAsia="宋体"/>
                <w:bCs/>
                <w:sz w:val="24"/>
                <w:szCs w:val="24"/>
                <w:u w:val="single"/>
              </w:rPr>
            </w:pPr>
          </w:p>
        </w:tc>
        <w:tc>
          <w:tcPr>
            <w:tcW w:w="2164" w:type="dxa"/>
            <w:tcBorders>
              <w:top w:val="single" w:color="auto" w:sz="4" w:space="0"/>
              <w:left w:val="single" w:color="auto" w:sz="4" w:space="0"/>
              <w:bottom w:val="single" w:color="auto" w:sz="4" w:space="0"/>
              <w:right w:val="single" w:color="auto" w:sz="4" w:space="0"/>
            </w:tcBorders>
            <w:vAlign w:val="center"/>
          </w:tcPr>
          <w:p w14:paraId="57CD89EE">
            <w:pPr>
              <w:adjustRightInd w:val="0"/>
              <w:snapToGrid w:val="0"/>
              <w:spacing w:line="360" w:lineRule="auto"/>
              <w:jc w:val="center"/>
              <w:rPr>
                <w:rFonts w:ascii="宋体" w:hAnsi="宋体" w:eastAsia="宋体"/>
                <w:bCs/>
                <w:sz w:val="24"/>
                <w:szCs w:val="24"/>
                <w:u w:val="single"/>
              </w:rPr>
            </w:pPr>
            <w:r>
              <w:rPr>
                <w:rFonts w:hint="eastAsia" w:ascii="宋体" w:hAnsi="宋体" w:eastAsia="宋体"/>
                <w:bCs/>
                <w:sz w:val="24"/>
                <w:szCs w:val="24"/>
                <w:lang w:val="en-US" w:eastAsia="zh-CN"/>
              </w:rPr>
              <w:t>（客户名称）</w:t>
            </w:r>
          </w:p>
        </w:tc>
        <w:tc>
          <w:tcPr>
            <w:tcW w:w="2386" w:type="dxa"/>
            <w:tcBorders>
              <w:top w:val="single" w:color="auto" w:sz="4" w:space="0"/>
              <w:left w:val="single" w:color="auto" w:sz="4" w:space="0"/>
              <w:bottom w:val="single" w:color="auto" w:sz="4" w:space="0"/>
              <w:right w:val="single" w:color="auto" w:sz="4" w:space="0"/>
            </w:tcBorders>
            <w:vAlign w:val="center"/>
          </w:tcPr>
          <w:p w14:paraId="7F2A5D67">
            <w:pPr>
              <w:adjustRightInd w:val="0"/>
              <w:snapToGrid w:val="0"/>
              <w:spacing w:line="360" w:lineRule="auto"/>
              <w:jc w:val="center"/>
              <w:rPr>
                <w:rFonts w:ascii="宋体" w:hAnsi="宋体" w:eastAsia="宋体"/>
                <w:bCs/>
                <w:sz w:val="24"/>
                <w:szCs w:val="24"/>
                <w:u w:val="single"/>
              </w:rPr>
            </w:pPr>
          </w:p>
        </w:tc>
      </w:tr>
      <w:tr w14:paraId="4B9C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322714C2">
            <w:pPr>
              <w:pStyle w:val="23"/>
              <w:spacing w:line="360" w:lineRule="auto"/>
              <w:jc w:val="center"/>
              <w:rPr>
                <w:rFonts w:hAnsi="宋体"/>
                <w:bCs/>
                <w:sz w:val="24"/>
                <w:szCs w:val="24"/>
              </w:rPr>
            </w:pPr>
            <w:r>
              <w:rPr>
                <w:rFonts w:hAnsi="宋体"/>
                <w:bCs/>
                <w:sz w:val="24"/>
                <w:szCs w:val="24"/>
              </w:rPr>
              <w:t>2</w:t>
            </w:r>
          </w:p>
        </w:tc>
        <w:tc>
          <w:tcPr>
            <w:tcW w:w="3119" w:type="dxa"/>
            <w:tcBorders>
              <w:top w:val="single" w:color="auto" w:sz="4" w:space="0"/>
              <w:left w:val="single" w:color="auto" w:sz="4" w:space="0"/>
              <w:bottom w:val="single" w:color="auto" w:sz="4" w:space="0"/>
              <w:right w:val="single" w:color="auto" w:sz="4" w:space="0"/>
            </w:tcBorders>
            <w:vAlign w:val="center"/>
          </w:tcPr>
          <w:p w14:paraId="4F162B19">
            <w:pPr>
              <w:adjustRightInd w:val="0"/>
              <w:snapToGrid w:val="0"/>
              <w:spacing w:line="360" w:lineRule="auto"/>
              <w:jc w:val="center"/>
              <w:rPr>
                <w:rFonts w:ascii="宋体" w:hAnsi="宋体" w:eastAsia="宋体"/>
                <w:bCs/>
                <w:sz w:val="24"/>
                <w:szCs w:val="24"/>
                <w:u w:val="single"/>
              </w:rPr>
            </w:pPr>
          </w:p>
        </w:tc>
        <w:tc>
          <w:tcPr>
            <w:tcW w:w="2164" w:type="dxa"/>
            <w:tcBorders>
              <w:top w:val="single" w:color="auto" w:sz="4" w:space="0"/>
              <w:left w:val="single" w:color="auto" w:sz="4" w:space="0"/>
              <w:bottom w:val="single" w:color="auto" w:sz="4" w:space="0"/>
              <w:right w:val="single" w:color="auto" w:sz="4" w:space="0"/>
            </w:tcBorders>
            <w:vAlign w:val="center"/>
          </w:tcPr>
          <w:p w14:paraId="2167F584">
            <w:pPr>
              <w:adjustRightInd w:val="0"/>
              <w:snapToGrid w:val="0"/>
              <w:spacing w:line="360" w:lineRule="auto"/>
              <w:jc w:val="center"/>
              <w:rPr>
                <w:rFonts w:ascii="宋体" w:hAnsi="宋体" w:eastAsia="宋体"/>
                <w:bCs/>
                <w:sz w:val="24"/>
                <w:szCs w:val="24"/>
                <w:u w:val="single"/>
              </w:rPr>
            </w:pPr>
          </w:p>
        </w:tc>
        <w:tc>
          <w:tcPr>
            <w:tcW w:w="2386" w:type="dxa"/>
            <w:tcBorders>
              <w:top w:val="single" w:color="auto" w:sz="4" w:space="0"/>
              <w:left w:val="single" w:color="auto" w:sz="4" w:space="0"/>
              <w:bottom w:val="single" w:color="auto" w:sz="4" w:space="0"/>
              <w:right w:val="single" w:color="auto" w:sz="4" w:space="0"/>
            </w:tcBorders>
            <w:vAlign w:val="center"/>
          </w:tcPr>
          <w:p w14:paraId="167A0545">
            <w:pPr>
              <w:adjustRightInd w:val="0"/>
              <w:snapToGrid w:val="0"/>
              <w:spacing w:line="360" w:lineRule="auto"/>
              <w:jc w:val="center"/>
              <w:rPr>
                <w:rFonts w:ascii="宋体" w:hAnsi="宋体" w:eastAsia="宋体"/>
                <w:bCs/>
                <w:sz w:val="24"/>
                <w:szCs w:val="24"/>
                <w:u w:val="single"/>
              </w:rPr>
            </w:pPr>
          </w:p>
        </w:tc>
      </w:tr>
      <w:tr w14:paraId="3CC26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6AC81E2C">
            <w:pPr>
              <w:pStyle w:val="23"/>
              <w:spacing w:line="360" w:lineRule="auto"/>
              <w:jc w:val="center"/>
              <w:rPr>
                <w:rFonts w:hAnsi="宋体"/>
                <w:bCs/>
                <w:sz w:val="24"/>
                <w:szCs w:val="24"/>
              </w:rPr>
            </w:pPr>
            <w:r>
              <w:rPr>
                <w:rFonts w:hAnsi="宋体"/>
                <w:bCs/>
                <w:sz w:val="24"/>
                <w:szCs w:val="24"/>
              </w:rPr>
              <w:t>3</w:t>
            </w:r>
          </w:p>
        </w:tc>
        <w:tc>
          <w:tcPr>
            <w:tcW w:w="3119" w:type="dxa"/>
            <w:tcBorders>
              <w:top w:val="single" w:color="auto" w:sz="4" w:space="0"/>
              <w:left w:val="single" w:color="auto" w:sz="4" w:space="0"/>
              <w:bottom w:val="single" w:color="auto" w:sz="4" w:space="0"/>
              <w:right w:val="single" w:color="auto" w:sz="4" w:space="0"/>
            </w:tcBorders>
            <w:vAlign w:val="center"/>
          </w:tcPr>
          <w:p w14:paraId="4C4EC633">
            <w:pPr>
              <w:adjustRightInd w:val="0"/>
              <w:snapToGrid w:val="0"/>
              <w:spacing w:line="360" w:lineRule="auto"/>
              <w:jc w:val="center"/>
              <w:rPr>
                <w:rFonts w:ascii="宋体" w:hAnsi="宋体" w:eastAsia="宋体"/>
                <w:bCs/>
                <w:sz w:val="24"/>
                <w:szCs w:val="24"/>
                <w:u w:val="single"/>
              </w:rPr>
            </w:pPr>
          </w:p>
        </w:tc>
        <w:tc>
          <w:tcPr>
            <w:tcW w:w="2164" w:type="dxa"/>
            <w:tcBorders>
              <w:top w:val="single" w:color="auto" w:sz="4" w:space="0"/>
              <w:left w:val="single" w:color="auto" w:sz="4" w:space="0"/>
              <w:bottom w:val="single" w:color="auto" w:sz="4" w:space="0"/>
              <w:right w:val="single" w:color="auto" w:sz="4" w:space="0"/>
            </w:tcBorders>
            <w:vAlign w:val="center"/>
          </w:tcPr>
          <w:p w14:paraId="721BC094">
            <w:pPr>
              <w:adjustRightInd w:val="0"/>
              <w:snapToGrid w:val="0"/>
              <w:spacing w:line="360" w:lineRule="auto"/>
              <w:jc w:val="center"/>
              <w:rPr>
                <w:rFonts w:ascii="宋体" w:hAnsi="宋体" w:eastAsia="宋体"/>
                <w:bCs/>
                <w:sz w:val="24"/>
                <w:szCs w:val="24"/>
                <w:u w:val="single"/>
              </w:rPr>
            </w:pPr>
          </w:p>
        </w:tc>
        <w:tc>
          <w:tcPr>
            <w:tcW w:w="2386" w:type="dxa"/>
            <w:tcBorders>
              <w:top w:val="single" w:color="auto" w:sz="4" w:space="0"/>
              <w:left w:val="single" w:color="auto" w:sz="4" w:space="0"/>
              <w:bottom w:val="single" w:color="auto" w:sz="4" w:space="0"/>
              <w:right w:val="single" w:color="auto" w:sz="4" w:space="0"/>
            </w:tcBorders>
            <w:vAlign w:val="center"/>
          </w:tcPr>
          <w:p w14:paraId="219F6EC8">
            <w:pPr>
              <w:adjustRightInd w:val="0"/>
              <w:snapToGrid w:val="0"/>
              <w:spacing w:line="360" w:lineRule="auto"/>
              <w:jc w:val="center"/>
              <w:rPr>
                <w:rFonts w:ascii="宋体" w:hAnsi="宋体" w:eastAsia="宋体"/>
                <w:bCs/>
                <w:sz w:val="24"/>
                <w:szCs w:val="24"/>
                <w:u w:val="single"/>
              </w:rPr>
            </w:pPr>
          </w:p>
        </w:tc>
      </w:tr>
      <w:tr w14:paraId="2F494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103718E6">
            <w:pPr>
              <w:pStyle w:val="23"/>
              <w:spacing w:line="360" w:lineRule="auto"/>
              <w:jc w:val="center"/>
              <w:rPr>
                <w:rFonts w:hAnsi="宋体"/>
                <w:bCs/>
                <w:sz w:val="24"/>
                <w:szCs w:val="24"/>
              </w:rPr>
            </w:pPr>
            <w:r>
              <w:rPr>
                <w:rFonts w:hAnsi="宋体"/>
                <w:bCs/>
                <w:sz w:val="24"/>
                <w:szCs w:val="24"/>
              </w:rPr>
              <w:t>4</w:t>
            </w:r>
          </w:p>
        </w:tc>
        <w:tc>
          <w:tcPr>
            <w:tcW w:w="3119" w:type="dxa"/>
            <w:tcBorders>
              <w:top w:val="single" w:color="auto" w:sz="4" w:space="0"/>
              <w:left w:val="single" w:color="auto" w:sz="4" w:space="0"/>
              <w:bottom w:val="single" w:color="auto" w:sz="4" w:space="0"/>
              <w:right w:val="single" w:color="auto" w:sz="4" w:space="0"/>
            </w:tcBorders>
            <w:vAlign w:val="center"/>
          </w:tcPr>
          <w:p w14:paraId="11299015">
            <w:pPr>
              <w:adjustRightInd w:val="0"/>
              <w:snapToGrid w:val="0"/>
              <w:spacing w:line="360" w:lineRule="auto"/>
              <w:jc w:val="center"/>
              <w:rPr>
                <w:rFonts w:ascii="宋体" w:hAnsi="宋体" w:eastAsia="宋体"/>
                <w:bCs/>
                <w:sz w:val="24"/>
                <w:szCs w:val="24"/>
                <w:u w:val="single"/>
              </w:rPr>
            </w:pPr>
          </w:p>
        </w:tc>
        <w:tc>
          <w:tcPr>
            <w:tcW w:w="2164" w:type="dxa"/>
            <w:tcBorders>
              <w:top w:val="single" w:color="auto" w:sz="4" w:space="0"/>
              <w:left w:val="single" w:color="auto" w:sz="4" w:space="0"/>
              <w:bottom w:val="single" w:color="auto" w:sz="4" w:space="0"/>
              <w:right w:val="single" w:color="auto" w:sz="4" w:space="0"/>
            </w:tcBorders>
            <w:vAlign w:val="center"/>
          </w:tcPr>
          <w:p w14:paraId="71DE6CC6">
            <w:pPr>
              <w:adjustRightInd w:val="0"/>
              <w:snapToGrid w:val="0"/>
              <w:spacing w:line="360" w:lineRule="auto"/>
              <w:jc w:val="center"/>
              <w:rPr>
                <w:rFonts w:ascii="宋体" w:hAnsi="宋体" w:eastAsia="宋体"/>
                <w:bCs/>
                <w:sz w:val="24"/>
                <w:szCs w:val="24"/>
                <w:u w:val="single"/>
              </w:rPr>
            </w:pPr>
          </w:p>
        </w:tc>
        <w:tc>
          <w:tcPr>
            <w:tcW w:w="2386" w:type="dxa"/>
            <w:tcBorders>
              <w:top w:val="single" w:color="auto" w:sz="4" w:space="0"/>
              <w:left w:val="single" w:color="auto" w:sz="4" w:space="0"/>
              <w:bottom w:val="single" w:color="auto" w:sz="4" w:space="0"/>
              <w:right w:val="single" w:color="auto" w:sz="4" w:space="0"/>
            </w:tcBorders>
            <w:vAlign w:val="center"/>
          </w:tcPr>
          <w:p w14:paraId="3F5D94D0">
            <w:pPr>
              <w:adjustRightInd w:val="0"/>
              <w:snapToGrid w:val="0"/>
              <w:spacing w:line="360" w:lineRule="auto"/>
              <w:jc w:val="center"/>
              <w:rPr>
                <w:rFonts w:ascii="宋体" w:hAnsi="宋体" w:eastAsia="宋体"/>
                <w:bCs/>
                <w:sz w:val="24"/>
                <w:szCs w:val="24"/>
                <w:u w:val="single"/>
              </w:rPr>
            </w:pPr>
          </w:p>
        </w:tc>
      </w:tr>
      <w:tr w14:paraId="20380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1618F284">
            <w:pPr>
              <w:pStyle w:val="23"/>
              <w:spacing w:line="360" w:lineRule="auto"/>
              <w:jc w:val="center"/>
              <w:rPr>
                <w:rFonts w:hAnsi="宋体"/>
                <w:bCs/>
                <w:sz w:val="24"/>
                <w:szCs w:val="24"/>
              </w:rPr>
            </w:pPr>
            <w:r>
              <w:rPr>
                <w:rFonts w:hAnsi="宋体"/>
                <w:bCs/>
                <w:sz w:val="24"/>
                <w:szCs w:val="24"/>
              </w:rPr>
              <w:t>5</w:t>
            </w:r>
          </w:p>
        </w:tc>
        <w:tc>
          <w:tcPr>
            <w:tcW w:w="3119" w:type="dxa"/>
            <w:tcBorders>
              <w:top w:val="single" w:color="auto" w:sz="4" w:space="0"/>
              <w:left w:val="single" w:color="auto" w:sz="4" w:space="0"/>
              <w:bottom w:val="single" w:color="auto" w:sz="4" w:space="0"/>
              <w:right w:val="single" w:color="auto" w:sz="4" w:space="0"/>
            </w:tcBorders>
            <w:vAlign w:val="center"/>
          </w:tcPr>
          <w:p w14:paraId="1A88B0D9">
            <w:pPr>
              <w:adjustRightInd w:val="0"/>
              <w:snapToGrid w:val="0"/>
              <w:spacing w:line="360" w:lineRule="auto"/>
              <w:jc w:val="center"/>
              <w:rPr>
                <w:rFonts w:ascii="宋体" w:hAnsi="宋体" w:eastAsia="宋体"/>
                <w:bCs/>
                <w:sz w:val="24"/>
                <w:szCs w:val="24"/>
                <w:u w:val="single"/>
              </w:rPr>
            </w:pPr>
          </w:p>
        </w:tc>
        <w:tc>
          <w:tcPr>
            <w:tcW w:w="2164" w:type="dxa"/>
            <w:tcBorders>
              <w:top w:val="single" w:color="auto" w:sz="4" w:space="0"/>
              <w:left w:val="single" w:color="auto" w:sz="4" w:space="0"/>
              <w:bottom w:val="single" w:color="auto" w:sz="4" w:space="0"/>
              <w:right w:val="single" w:color="auto" w:sz="4" w:space="0"/>
            </w:tcBorders>
            <w:vAlign w:val="center"/>
          </w:tcPr>
          <w:p w14:paraId="1537875C">
            <w:pPr>
              <w:adjustRightInd w:val="0"/>
              <w:snapToGrid w:val="0"/>
              <w:spacing w:line="360" w:lineRule="auto"/>
              <w:jc w:val="center"/>
              <w:rPr>
                <w:rFonts w:ascii="宋体" w:hAnsi="宋体" w:eastAsia="宋体"/>
                <w:bCs/>
                <w:sz w:val="24"/>
                <w:szCs w:val="24"/>
                <w:u w:val="single"/>
              </w:rPr>
            </w:pPr>
          </w:p>
        </w:tc>
        <w:tc>
          <w:tcPr>
            <w:tcW w:w="2386" w:type="dxa"/>
            <w:tcBorders>
              <w:top w:val="single" w:color="auto" w:sz="4" w:space="0"/>
              <w:left w:val="single" w:color="auto" w:sz="4" w:space="0"/>
              <w:bottom w:val="single" w:color="auto" w:sz="4" w:space="0"/>
              <w:right w:val="single" w:color="auto" w:sz="4" w:space="0"/>
            </w:tcBorders>
            <w:vAlign w:val="center"/>
          </w:tcPr>
          <w:p w14:paraId="4D268059">
            <w:pPr>
              <w:adjustRightInd w:val="0"/>
              <w:snapToGrid w:val="0"/>
              <w:spacing w:line="360" w:lineRule="auto"/>
              <w:jc w:val="center"/>
              <w:rPr>
                <w:rFonts w:ascii="宋体" w:hAnsi="宋体" w:eastAsia="宋体"/>
                <w:bCs/>
                <w:sz w:val="24"/>
                <w:szCs w:val="24"/>
                <w:u w:val="single"/>
              </w:rPr>
            </w:pPr>
          </w:p>
        </w:tc>
      </w:tr>
      <w:tr w14:paraId="43266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3598A9DA">
            <w:pPr>
              <w:pStyle w:val="23"/>
              <w:spacing w:line="360" w:lineRule="auto"/>
              <w:jc w:val="center"/>
              <w:rPr>
                <w:rFonts w:hAnsi="宋体"/>
                <w:bCs/>
                <w:sz w:val="24"/>
                <w:szCs w:val="24"/>
              </w:rPr>
            </w:pPr>
            <w:r>
              <w:rPr>
                <w:rFonts w:hAnsi="宋体"/>
                <w:bCs/>
                <w:sz w:val="24"/>
                <w:szCs w:val="24"/>
              </w:rPr>
              <w:t>6</w:t>
            </w:r>
          </w:p>
        </w:tc>
        <w:tc>
          <w:tcPr>
            <w:tcW w:w="3119" w:type="dxa"/>
            <w:tcBorders>
              <w:top w:val="single" w:color="auto" w:sz="4" w:space="0"/>
              <w:left w:val="single" w:color="auto" w:sz="4" w:space="0"/>
              <w:bottom w:val="single" w:color="auto" w:sz="4" w:space="0"/>
              <w:right w:val="single" w:color="auto" w:sz="4" w:space="0"/>
            </w:tcBorders>
            <w:vAlign w:val="center"/>
          </w:tcPr>
          <w:p w14:paraId="7B2614CF">
            <w:pPr>
              <w:adjustRightInd w:val="0"/>
              <w:snapToGrid w:val="0"/>
              <w:spacing w:line="360" w:lineRule="auto"/>
              <w:jc w:val="center"/>
              <w:rPr>
                <w:rFonts w:ascii="宋体" w:hAnsi="宋体" w:eastAsia="宋体"/>
                <w:bCs/>
                <w:sz w:val="24"/>
                <w:szCs w:val="24"/>
                <w:u w:val="single"/>
              </w:rPr>
            </w:pPr>
          </w:p>
        </w:tc>
        <w:tc>
          <w:tcPr>
            <w:tcW w:w="2164" w:type="dxa"/>
            <w:tcBorders>
              <w:top w:val="single" w:color="auto" w:sz="4" w:space="0"/>
              <w:left w:val="single" w:color="auto" w:sz="4" w:space="0"/>
              <w:bottom w:val="single" w:color="auto" w:sz="4" w:space="0"/>
              <w:right w:val="single" w:color="auto" w:sz="4" w:space="0"/>
            </w:tcBorders>
            <w:vAlign w:val="center"/>
          </w:tcPr>
          <w:p w14:paraId="6BFD7B39">
            <w:pPr>
              <w:adjustRightInd w:val="0"/>
              <w:snapToGrid w:val="0"/>
              <w:spacing w:line="360" w:lineRule="auto"/>
              <w:jc w:val="center"/>
              <w:rPr>
                <w:rFonts w:ascii="宋体" w:hAnsi="宋体" w:eastAsia="宋体"/>
                <w:bCs/>
                <w:sz w:val="24"/>
                <w:szCs w:val="24"/>
                <w:u w:val="single"/>
              </w:rPr>
            </w:pPr>
          </w:p>
        </w:tc>
        <w:tc>
          <w:tcPr>
            <w:tcW w:w="2386" w:type="dxa"/>
            <w:tcBorders>
              <w:top w:val="single" w:color="auto" w:sz="4" w:space="0"/>
              <w:left w:val="single" w:color="auto" w:sz="4" w:space="0"/>
              <w:bottom w:val="single" w:color="auto" w:sz="4" w:space="0"/>
              <w:right w:val="single" w:color="auto" w:sz="4" w:space="0"/>
            </w:tcBorders>
            <w:vAlign w:val="center"/>
          </w:tcPr>
          <w:p w14:paraId="32C903EA">
            <w:pPr>
              <w:adjustRightInd w:val="0"/>
              <w:snapToGrid w:val="0"/>
              <w:spacing w:line="360" w:lineRule="auto"/>
              <w:jc w:val="center"/>
              <w:rPr>
                <w:rFonts w:ascii="宋体" w:hAnsi="宋体" w:eastAsia="宋体"/>
                <w:bCs/>
                <w:sz w:val="24"/>
                <w:szCs w:val="24"/>
                <w:u w:val="single"/>
              </w:rPr>
            </w:pPr>
          </w:p>
        </w:tc>
      </w:tr>
      <w:tr w14:paraId="69CA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2006FB84">
            <w:pPr>
              <w:pStyle w:val="23"/>
              <w:spacing w:line="360" w:lineRule="auto"/>
              <w:jc w:val="center"/>
              <w:rPr>
                <w:rFonts w:hAnsi="宋体"/>
                <w:bCs/>
                <w:sz w:val="24"/>
                <w:szCs w:val="24"/>
              </w:rPr>
            </w:pPr>
            <w:r>
              <w:rPr>
                <w:rFonts w:hAnsi="宋体"/>
                <w:bCs/>
                <w:sz w:val="24"/>
                <w:szCs w:val="24"/>
              </w:rPr>
              <w:t>…</w:t>
            </w:r>
          </w:p>
        </w:tc>
        <w:tc>
          <w:tcPr>
            <w:tcW w:w="3119" w:type="dxa"/>
            <w:tcBorders>
              <w:top w:val="single" w:color="auto" w:sz="4" w:space="0"/>
              <w:left w:val="single" w:color="auto" w:sz="4" w:space="0"/>
              <w:bottom w:val="single" w:color="auto" w:sz="4" w:space="0"/>
              <w:right w:val="single" w:color="auto" w:sz="4" w:space="0"/>
            </w:tcBorders>
            <w:vAlign w:val="center"/>
          </w:tcPr>
          <w:p w14:paraId="7019C3E0">
            <w:pPr>
              <w:adjustRightInd w:val="0"/>
              <w:snapToGrid w:val="0"/>
              <w:spacing w:line="360" w:lineRule="auto"/>
              <w:jc w:val="center"/>
              <w:rPr>
                <w:rFonts w:ascii="宋体" w:hAnsi="宋体" w:eastAsia="宋体"/>
                <w:bCs/>
                <w:sz w:val="24"/>
                <w:szCs w:val="24"/>
                <w:u w:val="single"/>
              </w:rPr>
            </w:pPr>
          </w:p>
        </w:tc>
        <w:tc>
          <w:tcPr>
            <w:tcW w:w="2164" w:type="dxa"/>
            <w:tcBorders>
              <w:top w:val="single" w:color="auto" w:sz="4" w:space="0"/>
              <w:left w:val="single" w:color="auto" w:sz="4" w:space="0"/>
              <w:bottom w:val="single" w:color="auto" w:sz="4" w:space="0"/>
              <w:right w:val="single" w:color="auto" w:sz="4" w:space="0"/>
            </w:tcBorders>
            <w:vAlign w:val="center"/>
          </w:tcPr>
          <w:p w14:paraId="75888610">
            <w:pPr>
              <w:adjustRightInd w:val="0"/>
              <w:snapToGrid w:val="0"/>
              <w:spacing w:line="360" w:lineRule="auto"/>
              <w:jc w:val="center"/>
              <w:rPr>
                <w:rFonts w:ascii="宋体" w:hAnsi="宋体" w:eastAsia="宋体"/>
                <w:bCs/>
                <w:sz w:val="24"/>
                <w:szCs w:val="24"/>
                <w:u w:val="single"/>
              </w:rPr>
            </w:pPr>
          </w:p>
        </w:tc>
        <w:tc>
          <w:tcPr>
            <w:tcW w:w="2386" w:type="dxa"/>
            <w:tcBorders>
              <w:top w:val="single" w:color="auto" w:sz="4" w:space="0"/>
              <w:left w:val="single" w:color="auto" w:sz="4" w:space="0"/>
              <w:bottom w:val="single" w:color="auto" w:sz="4" w:space="0"/>
              <w:right w:val="single" w:color="auto" w:sz="4" w:space="0"/>
            </w:tcBorders>
            <w:vAlign w:val="center"/>
          </w:tcPr>
          <w:p w14:paraId="7C9AD41B">
            <w:pPr>
              <w:adjustRightInd w:val="0"/>
              <w:snapToGrid w:val="0"/>
              <w:spacing w:line="360" w:lineRule="auto"/>
              <w:jc w:val="center"/>
              <w:rPr>
                <w:rFonts w:ascii="宋体" w:hAnsi="宋体" w:eastAsia="宋体"/>
                <w:bCs/>
                <w:sz w:val="24"/>
                <w:szCs w:val="24"/>
                <w:u w:val="single"/>
              </w:rPr>
            </w:pPr>
          </w:p>
        </w:tc>
      </w:tr>
    </w:tbl>
    <w:p w14:paraId="6B2A6805">
      <w:pPr>
        <w:pStyle w:val="23"/>
        <w:spacing w:line="360" w:lineRule="auto"/>
        <w:rPr>
          <w:rFonts w:ascii="Times New Roman" w:hAnsi="Times New Roman"/>
          <w:sz w:val="24"/>
          <w:szCs w:val="21"/>
        </w:rPr>
      </w:pPr>
    </w:p>
    <w:p w14:paraId="083410EB">
      <w:pPr>
        <w:pStyle w:val="23"/>
        <w:spacing w:line="360" w:lineRule="auto"/>
        <w:rPr>
          <w:rFonts w:ascii="Times New Roman" w:hAnsi="Times New Roman"/>
          <w:sz w:val="24"/>
          <w:szCs w:val="21"/>
        </w:rPr>
      </w:pPr>
      <w:r>
        <w:rPr>
          <w:rFonts w:ascii="Times New Roman" w:hAnsi="Times New Roman"/>
          <w:sz w:val="24"/>
          <w:szCs w:val="21"/>
        </w:rPr>
        <w:t>要求：</w:t>
      </w:r>
    </w:p>
    <w:p w14:paraId="12CB9413">
      <w:pPr>
        <w:pStyle w:val="23"/>
        <w:spacing w:line="360" w:lineRule="auto"/>
        <w:ind w:firstLine="480" w:firstLineChars="200"/>
        <w:rPr>
          <w:rFonts w:ascii="Times New Roman" w:hAnsi="Times New Roman"/>
          <w:sz w:val="24"/>
          <w:szCs w:val="21"/>
        </w:rPr>
      </w:pPr>
      <w:r>
        <w:rPr>
          <w:rFonts w:hint="eastAsia" w:ascii="Times New Roman" w:hAnsi="Times New Roman"/>
          <w:sz w:val="24"/>
          <w:szCs w:val="21"/>
        </w:rPr>
        <w:t>供应商须提供</w:t>
      </w:r>
      <w:r>
        <w:rPr>
          <w:rFonts w:hint="eastAsia" w:ascii="Times New Roman" w:hAnsi="Times New Roman"/>
          <w:sz w:val="24"/>
          <w:szCs w:val="21"/>
          <w:lang w:val="en-US" w:eastAsia="zh-CN"/>
        </w:rPr>
        <w:t>至少一份原始合同</w:t>
      </w:r>
      <w:r>
        <w:rPr>
          <w:rFonts w:hint="eastAsia" w:ascii="Times New Roman" w:hAnsi="Times New Roman"/>
          <w:sz w:val="24"/>
          <w:szCs w:val="21"/>
        </w:rPr>
        <w:t>复印件或扫描件并加盖公章。</w:t>
      </w:r>
    </w:p>
    <w:p w14:paraId="6E430D87">
      <w:pPr>
        <w:pStyle w:val="23"/>
        <w:spacing w:line="360" w:lineRule="auto"/>
        <w:ind w:firstLine="480" w:firstLineChars="200"/>
        <w:rPr>
          <w:rFonts w:ascii="Times New Roman" w:hAnsi="Times New Roman"/>
          <w:color w:val="FF0000"/>
          <w:sz w:val="24"/>
          <w:szCs w:val="21"/>
        </w:rPr>
      </w:pPr>
      <w:r>
        <w:rPr>
          <w:rFonts w:hint="eastAsia" w:ascii="Times New Roman" w:hAnsi="Times New Roman"/>
          <w:sz w:val="24"/>
          <w:szCs w:val="21"/>
        </w:rPr>
        <w:t>注：投标人提供的业绩是否符合评分要求，由评标委员会认定。</w:t>
      </w:r>
    </w:p>
    <w:p w14:paraId="586259A4">
      <w:pPr>
        <w:pStyle w:val="23"/>
        <w:spacing w:line="360" w:lineRule="auto"/>
        <w:rPr>
          <w:rFonts w:ascii="Times New Roman" w:hAnsi="Times New Roman"/>
          <w:sz w:val="24"/>
          <w:szCs w:val="21"/>
        </w:rPr>
      </w:pPr>
    </w:p>
    <w:p w14:paraId="23536BFF">
      <w:pPr>
        <w:pStyle w:val="23"/>
        <w:spacing w:line="360" w:lineRule="auto"/>
        <w:rPr>
          <w:rFonts w:ascii="Times New Roman" w:hAnsi="Times New Roman"/>
          <w:sz w:val="24"/>
          <w:szCs w:val="21"/>
        </w:rPr>
      </w:pPr>
    </w:p>
    <w:p w14:paraId="2020FB34">
      <w:pPr>
        <w:pStyle w:val="23"/>
        <w:spacing w:line="360" w:lineRule="auto"/>
        <w:rPr>
          <w:rFonts w:ascii="Times New Roman" w:hAnsi="Times New Roman"/>
          <w:sz w:val="24"/>
          <w:szCs w:val="21"/>
        </w:rPr>
      </w:pPr>
    </w:p>
    <w:p w14:paraId="54C3C149">
      <w:pPr>
        <w:spacing w:line="360" w:lineRule="auto"/>
        <w:ind w:firstLine="480" w:firstLineChars="200"/>
        <w:rPr>
          <w:rFonts w:ascii="宋体" w:hAnsi="宋体" w:eastAsia="宋体"/>
          <w:color w:val="000000" w:themeColor="text1"/>
          <w:sz w:val="24"/>
          <w14:textFill>
            <w14:solidFill>
              <w14:schemeClr w14:val="tx1"/>
            </w14:solidFill>
          </w14:textFill>
        </w:rPr>
      </w:pPr>
      <w:bookmarkStart w:id="229" w:name="_Hlk169172440"/>
      <w:r>
        <w:rPr>
          <w:rFonts w:hint="eastAsia" w:ascii="宋体" w:hAnsi="宋体" w:eastAsia="宋体"/>
          <w:color w:val="000000" w:themeColor="text1"/>
          <w:sz w:val="24"/>
          <w14:textFill>
            <w14:solidFill>
              <w14:schemeClr w14:val="tx1"/>
            </w14:solidFill>
          </w14:textFill>
        </w:rPr>
        <w:t>供应商名称：</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（盖公章）</w:t>
      </w:r>
      <w:r>
        <w:rPr>
          <w:rFonts w:ascii="宋体" w:hAnsi="宋体" w:eastAsia="宋体"/>
          <w:color w:val="000000" w:themeColor="text1"/>
          <w:sz w:val="24"/>
          <w14:textFill>
            <w14:solidFill>
              <w14:schemeClr w14:val="tx1"/>
            </w14:solidFill>
          </w14:textFill>
        </w:rPr>
        <w:t xml:space="preserve"> </w:t>
      </w:r>
    </w:p>
    <w:p w14:paraId="2E150DDE">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供应商法定代表人（或授权代表）签字或盖章：</w:t>
      </w:r>
      <w:r>
        <w:rPr>
          <w:rFonts w:hint="eastAsia" w:ascii="宋体" w:hAnsi="宋体" w:eastAsia="宋体"/>
          <w:color w:val="000000" w:themeColor="text1"/>
          <w:sz w:val="24"/>
          <w:u w:val="single"/>
          <w14:textFill>
            <w14:solidFill>
              <w14:schemeClr w14:val="tx1"/>
            </w14:solidFill>
          </w14:textFill>
        </w:rPr>
        <w:t xml:space="preserve">               </w:t>
      </w:r>
    </w:p>
    <w:p w14:paraId="4363E1DB">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日期：</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年</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月</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日</w:t>
      </w:r>
    </w:p>
    <w:bookmarkEnd w:id="229"/>
    <w:p w14:paraId="05095171">
      <w:pPr>
        <w:spacing w:line="360" w:lineRule="auto"/>
        <w:rPr>
          <w:rFonts w:eastAsia="宋体"/>
          <w:b/>
          <w:sz w:val="24"/>
          <w:szCs w:val="21"/>
        </w:rPr>
      </w:pPr>
      <w:r>
        <w:rPr>
          <w:rFonts w:eastAsia="宋体"/>
          <w:b/>
          <w:sz w:val="24"/>
          <w:szCs w:val="21"/>
        </w:rPr>
        <w:t xml:space="preserve">  </w:t>
      </w:r>
    </w:p>
    <w:p w14:paraId="1CE66653">
      <w:pPr>
        <w:spacing w:line="360" w:lineRule="auto"/>
        <w:rPr>
          <w:rFonts w:eastAsia="宋体"/>
          <w:b/>
          <w:sz w:val="24"/>
          <w:szCs w:val="21"/>
        </w:rPr>
      </w:pPr>
    </w:p>
    <w:p w14:paraId="4EEF5C18">
      <w:pPr>
        <w:spacing w:line="360" w:lineRule="auto"/>
        <w:rPr>
          <w:rFonts w:eastAsia="宋体"/>
          <w:b/>
          <w:sz w:val="24"/>
          <w:szCs w:val="21"/>
        </w:rPr>
      </w:pPr>
    </w:p>
    <w:p w14:paraId="345D2EB8">
      <w:pPr>
        <w:spacing w:line="360" w:lineRule="auto"/>
        <w:rPr>
          <w:rFonts w:eastAsia="宋体"/>
          <w:b/>
          <w:sz w:val="24"/>
          <w:szCs w:val="21"/>
        </w:rPr>
      </w:pPr>
    </w:p>
    <w:p w14:paraId="4AAA1632">
      <w:pPr>
        <w:spacing w:line="360" w:lineRule="auto"/>
        <w:rPr>
          <w:rFonts w:eastAsia="宋体"/>
          <w:b/>
          <w:sz w:val="24"/>
          <w:szCs w:val="21"/>
        </w:rPr>
      </w:pPr>
    </w:p>
    <w:p w14:paraId="1CE5F9C9">
      <w:pPr>
        <w:spacing w:line="360" w:lineRule="auto"/>
        <w:rPr>
          <w:rFonts w:eastAsia="宋体"/>
          <w:b/>
          <w:sz w:val="24"/>
          <w:szCs w:val="21"/>
        </w:rPr>
      </w:pPr>
    </w:p>
    <w:p w14:paraId="34D37C8B">
      <w:pPr>
        <w:spacing w:line="360" w:lineRule="auto"/>
        <w:rPr>
          <w:rFonts w:eastAsia="宋体"/>
          <w:b/>
          <w:sz w:val="24"/>
          <w:szCs w:val="21"/>
        </w:rPr>
      </w:pPr>
    </w:p>
    <w:p w14:paraId="6FB6885F">
      <w:pPr>
        <w:widowControl/>
        <w:jc w:val="left"/>
        <w:rPr>
          <w:rFonts w:eastAsia="宋体"/>
          <w:b/>
          <w:sz w:val="24"/>
          <w:szCs w:val="21"/>
        </w:rPr>
      </w:pPr>
      <w:r>
        <w:rPr>
          <w:rFonts w:eastAsia="宋体"/>
          <w:b/>
          <w:sz w:val="24"/>
          <w:szCs w:val="21"/>
        </w:rPr>
        <w:br w:type="page"/>
      </w:r>
    </w:p>
    <w:p w14:paraId="533690E5">
      <w:pPr>
        <w:pStyle w:val="4"/>
        <w:snapToGrid w:val="0"/>
        <w:spacing w:before="120" w:beforeLines="50" w:after="120" w:afterLines="50" w:line="360" w:lineRule="auto"/>
        <w:jc w:val="center"/>
        <w:rPr>
          <w:rFonts w:ascii="Times New Roman" w:hAnsi="Times New Roman" w:eastAsia="宋体"/>
          <w:bCs/>
          <w:sz w:val="24"/>
          <w:szCs w:val="21"/>
        </w:rPr>
      </w:pPr>
      <w:bookmarkStart w:id="230" w:name="_Toc169861832"/>
      <w:r>
        <w:rPr>
          <w:rFonts w:hint="eastAsia" w:ascii="Times New Roman" w:hAnsi="Times New Roman" w:eastAsia="宋体"/>
          <w:bCs/>
          <w:sz w:val="24"/>
          <w:szCs w:val="21"/>
          <w:lang w:val="en-US" w:eastAsia="zh-CN"/>
        </w:rPr>
        <w:t>六</w:t>
      </w:r>
      <w:r>
        <w:rPr>
          <w:rFonts w:ascii="Times New Roman" w:hAnsi="Times New Roman" w:eastAsia="宋体"/>
          <w:bCs/>
          <w:sz w:val="24"/>
          <w:szCs w:val="21"/>
        </w:rPr>
        <w:t>、</w:t>
      </w:r>
      <w:r>
        <w:rPr>
          <w:rFonts w:hint="eastAsia" w:ascii="Times New Roman" w:hAnsi="Times New Roman" w:eastAsia="宋体"/>
          <w:bCs/>
          <w:sz w:val="24"/>
          <w:szCs w:val="21"/>
        </w:rPr>
        <w:t>法定代表人证明书</w:t>
      </w:r>
      <w:bookmarkEnd w:id="230"/>
    </w:p>
    <w:p w14:paraId="60A54CF7">
      <w:pPr>
        <w:pStyle w:val="5"/>
      </w:pPr>
    </w:p>
    <w:p w14:paraId="07D342C4">
      <w:pPr>
        <w:pStyle w:val="5"/>
      </w:pPr>
    </w:p>
    <w:p w14:paraId="52A34FED">
      <w:pPr>
        <w:adjustRightInd w:val="0"/>
        <w:snapToGrid w:val="0"/>
        <w:spacing w:line="360" w:lineRule="auto"/>
        <w:ind w:firstLine="480" w:firstLineChars="200"/>
        <w:rPr>
          <w:rFonts w:eastAsia="宋体"/>
          <w:sz w:val="24"/>
          <w:szCs w:val="21"/>
        </w:rPr>
      </w:pPr>
      <w:r>
        <w:rPr>
          <w:rFonts w:hint="eastAsia" w:eastAsia="宋体"/>
          <w:sz w:val="24"/>
          <w:szCs w:val="21"/>
        </w:rPr>
        <w:t>______________同志，现任我单位</w:t>
      </w:r>
      <w:r>
        <w:rPr>
          <w:rFonts w:eastAsia="宋体"/>
          <w:sz w:val="24"/>
          <w:szCs w:val="21"/>
          <w:u w:val="single"/>
        </w:rPr>
        <w:t xml:space="preserve">         </w:t>
      </w:r>
      <w:r>
        <w:rPr>
          <w:rFonts w:hint="eastAsia" w:eastAsia="宋体"/>
          <w:sz w:val="24"/>
          <w:szCs w:val="21"/>
        </w:rPr>
        <w:t>职务，为法定代表人，特此证明。</w:t>
      </w:r>
    </w:p>
    <w:p w14:paraId="110EDDF1">
      <w:pPr>
        <w:adjustRightInd w:val="0"/>
        <w:snapToGrid w:val="0"/>
        <w:spacing w:line="360" w:lineRule="auto"/>
        <w:ind w:firstLine="480" w:firstLineChars="200"/>
        <w:rPr>
          <w:rFonts w:eastAsia="宋体"/>
          <w:sz w:val="24"/>
          <w:szCs w:val="21"/>
        </w:rPr>
      </w:pPr>
      <w:r>
        <w:rPr>
          <w:rFonts w:hint="eastAsia" w:eastAsia="宋体"/>
          <w:sz w:val="24"/>
          <w:szCs w:val="21"/>
        </w:rPr>
        <w:t>本证明书自签发之日起生效，有效期与本公司响应文件中标注的响应有效期相同。</w:t>
      </w:r>
    </w:p>
    <w:p w14:paraId="33FB4501">
      <w:pPr>
        <w:adjustRightInd w:val="0"/>
        <w:snapToGrid w:val="0"/>
        <w:spacing w:line="360" w:lineRule="auto"/>
        <w:ind w:firstLine="480" w:firstLineChars="200"/>
        <w:rPr>
          <w:rFonts w:eastAsia="宋体"/>
          <w:sz w:val="24"/>
          <w:szCs w:val="21"/>
        </w:rPr>
      </w:pPr>
    </w:p>
    <w:p w14:paraId="373BAFBF">
      <w:pPr>
        <w:adjustRightInd w:val="0"/>
        <w:snapToGrid w:val="0"/>
        <w:spacing w:line="360" w:lineRule="auto"/>
        <w:ind w:firstLine="480" w:firstLineChars="200"/>
        <w:rPr>
          <w:rFonts w:eastAsia="宋体"/>
          <w:sz w:val="24"/>
          <w:szCs w:val="21"/>
        </w:rPr>
      </w:pPr>
    </w:p>
    <w:p w14:paraId="51DF59DF">
      <w:pPr>
        <w:adjustRightInd w:val="0"/>
        <w:snapToGrid w:val="0"/>
        <w:spacing w:line="360" w:lineRule="auto"/>
        <w:ind w:firstLine="480" w:firstLineChars="200"/>
        <w:rPr>
          <w:rFonts w:eastAsia="宋体"/>
          <w:sz w:val="24"/>
          <w:szCs w:val="21"/>
        </w:rPr>
      </w:pPr>
    </w:p>
    <w:p w14:paraId="2C874E32">
      <w:pPr>
        <w:adjustRightInd w:val="0"/>
        <w:snapToGrid w:val="0"/>
        <w:spacing w:line="360" w:lineRule="auto"/>
        <w:ind w:firstLine="480" w:firstLineChars="200"/>
        <w:rPr>
          <w:rFonts w:eastAsia="宋体"/>
          <w:sz w:val="24"/>
          <w:szCs w:val="21"/>
        </w:rPr>
      </w:pPr>
    </w:p>
    <w:p w14:paraId="22F512E3">
      <w:pPr>
        <w:adjustRightInd w:val="0"/>
        <w:snapToGrid w:val="0"/>
        <w:spacing w:line="360" w:lineRule="auto"/>
        <w:ind w:firstLine="480" w:firstLineChars="200"/>
        <w:rPr>
          <w:rFonts w:eastAsia="宋体"/>
          <w:sz w:val="24"/>
          <w:szCs w:val="21"/>
        </w:rPr>
      </w:pPr>
      <w:r>
        <w:rPr>
          <w:rFonts w:hint="eastAsia" w:eastAsia="宋体"/>
          <w:sz w:val="24"/>
          <w:szCs w:val="21"/>
          <w:lang w:val="en-US" w:eastAsia="zh-CN"/>
        </w:rPr>
        <w:t>供应商</w:t>
      </w:r>
      <w:r>
        <w:rPr>
          <w:rFonts w:hint="eastAsia" w:eastAsia="宋体"/>
          <w:sz w:val="24"/>
          <w:szCs w:val="21"/>
        </w:rPr>
        <w:t>名称（加盖公章）：</w:t>
      </w:r>
    </w:p>
    <w:p w14:paraId="2386F66A">
      <w:pPr>
        <w:adjustRightInd w:val="0"/>
        <w:snapToGrid w:val="0"/>
        <w:spacing w:line="360" w:lineRule="auto"/>
        <w:ind w:firstLine="480" w:firstLineChars="200"/>
        <w:rPr>
          <w:rFonts w:eastAsia="宋体"/>
          <w:sz w:val="24"/>
          <w:szCs w:val="21"/>
        </w:rPr>
      </w:pPr>
      <w:r>
        <w:rPr>
          <w:rFonts w:hint="eastAsia" w:eastAsia="宋体"/>
          <w:sz w:val="24"/>
          <w:szCs w:val="21"/>
        </w:rPr>
        <w:t>日期：</w:t>
      </w:r>
      <w:r>
        <w:rPr>
          <w:rFonts w:hint="eastAsia" w:eastAsia="宋体"/>
          <w:sz w:val="24"/>
          <w:szCs w:val="21"/>
          <w:lang w:val="en-US" w:eastAsia="zh-CN"/>
        </w:rPr>
        <w:t xml:space="preserve"> </w:t>
      </w:r>
      <w:r>
        <w:rPr>
          <w:rFonts w:hint="eastAsia" w:eastAsia="宋体"/>
          <w:sz w:val="24"/>
          <w:szCs w:val="21"/>
        </w:rPr>
        <w:t xml:space="preserve"> 年 月 日</w:t>
      </w:r>
    </w:p>
    <w:p w14:paraId="1CDCE9ED">
      <w:pPr>
        <w:adjustRightInd w:val="0"/>
        <w:snapToGrid w:val="0"/>
        <w:spacing w:line="360" w:lineRule="auto"/>
        <w:ind w:firstLine="480" w:firstLineChars="200"/>
        <w:rPr>
          <w:rFonts w:eastAsia="宋体"/>
          <w:sz w:val="24"/>
          <w:szCs w:val="21"/>
        </w:rPr>
      </w:pPr>
    </w:p>
    <w:p w14:paraId="71B55CE8">
      <w:pPr>
        <w:tabs>
          <w:tab w:val="left" w:pos="3780"/>
        </w:tabs>
        <w:spacing w:line="360" w:lineRule="auto"/>
        <w:jc w:val="center"/>
        <w:outlineLvl w:val="2"/>
        <w:rPr>
          <w:rFonts w:eastAsia="宋体"/>
          <w:bCs/>
          <w:sz w:val="24"/>
          <w:szCs w:val="21"/>
        </w:rPr>
      </w:pPr>
      <w:r>
        <w:rPr>
          <w:rFonts w:hint="eastAsia" w:eastAsia="宋体"/>
          <w:bCs/>
          <w:sz w:val="24"/>
          <w:szCs w:val="21"/>
        </w:rPr>
        <w:t>附：法人身份证粘贴处（正反面）</w:t>
      </w:r>
    </w:p>
    <w:p w14:paraId="4DA9C0E5">
      <w:pPr>
        <w:tabs>
          <w:tab w:val="left" w:pos="3780"/>
        </w:tabs>
        <w:spacing w:line="360" w:lineRule="auto"/>
        <w:rPr>
          <w:rFonts w:eastAsia="宋体"/>
          <w:bCs/>
          <w:sz w:val="24"/>
          <w:szCs w:val="21"/>
        </w:rPr>
      </w:pPr>
      <w:r>
        <w:rPr>
          <w:rFonts w:eastAsia="宋体"/>
          <w:sz w:val="24"/>
          <w:szCs w:val="21"/>
        </w:rPr>
        <mc:AlternateContent>
          <mc:Choice Requires="wpg">
            <w:drawing>
              <wp:anchor distT="0" distB="0" distL="114300" distR="114300" simplePos="0" relativeHeight="251661312" behindDoc="0" locked="0" layoutInCell="1" allowOverlap="1">
                <wp:simplePos x="0" y="0"/>
                <wp:positionH relativeFrom="column">
                  <wp:posOffset>200025</wp:posOffset>
                </wp:positionH>
                <wp:positionV relativeFrom="paragraph">
                  <wp:posOffset>106680</wp:posOffset>
                </wp:positionV>
                <wp:extent cx="5553075" cy="1748790"/>
                <wp:effectExtent l="7620" t="12065" r="11430" b="10795"/>
                <wp:wrapNone/>
                <wp:docPr id="1" name="组合 12"/>
                <wp:cNvGraphicFramePr/>
                <a:graphic xmlns:a="http://schemas.openxmlformats.org/drawingml/2006/main">
                  <a:graphicData uri="http://schemas.microsoft.com/office/word/2010/wordprocessingGroup">
                    <wpg:wgp>
                      <wpg:cNvGrpSpPr/>
                      <wpg:grpSpPr>
                        <a:xfrm>
                          <a:off x="0" y="0"/>
                          <a:ext cx="5553075" cy="1748790"/>
                          <a:chOff x="1500" y="7300"/>
                          <a:chExt cx="8745" cy="2754"/>
                        </a:xfrm>
                      </wpg:grpSpPr>
                      <wps:wsp>
                        <wps:cNvPr id="2" name="矩形 13"/>
                        <wps:cNvSpPr>
                          <a:spLocks noChangeArrowheads="1"/>
                        </wps:cNvSpPr>
                        <wps:spPr bwMode="auto">
                          <a:xfrm>
                            <a:off x="1500" y="7300"/>
                            <a:ext cx="4275" cy="2754"/>
                          </a:xfrm>
                          <a:prstGeom prst="rect">
                            <a:avLst/>
                          </a:prstGeom>
                          <a:solidFill>
                            <a:srgbClr val="FFFFFF"/>
                          </a:solidFill>
                          <a:ln w="9525">
                            <a:solidFill>
                              <a:srgbClr val="000000"/>
                            </a:solidFill>
                            <a:miter lim="800000"/>
                          </a:ln>
                        </wps:spPr>
                        <wps:txbx>
                          <w:txbxContent>
                            <w:p w14:paraId="595E9E55">
                              <w:pPr>
                                <w:ind w:firstLine="1200" w:firstLineChars="400"/>
                              </w:pPr>
                            </w:p>
                            <w:p w14:paraId="0E8AE154">
                              <w:pPr>
                                <w:ind w:firstLine="1200" w:firstLineChars="400"/>
                              </w:pPr>
                            </w:p>
                            <w:p w14:paraId="3872A530">
                              <w:pPr>
                                <w:jc w:val="center"/>
                                <w:rPr>
                                  <w:rFonts w:eastAsia="宋体"/>
                                  <w:sz w:val="24"/>
                                  <w:szCs w:val="21"/>
                                </w:rPr>
                              </w:pPr>
                              <w:r>
                                <w:rPr>
                                  <w:rFonts w:hint="eastAsia" w:eastAsia="宋体"/>
                                  <w:sz w:val="24"/>
                                  <w:szCs w:val="21"/>
                                </w:rPr>
                                <w:t>法定代表人</w:t>
                              </w:r>
                            </w:p>
                            <w:p w14:paraId="71522581">
                              <w:pPr>
                                <w:jc w:val="center"/>
                                <w:rPr>
                                  <w:rFonts w:eastAsia="宋体"/>
                                  <w:sz w:val="24"/>
                                  <w:szCs w:val="21"/>
                                </w:rPr>
                              </w:pPr>
                              <w:r>
                                <w:rPr>
                                  <w:rFonts w:hint="eastAsia" w:eastAsia="宋体"/>
                                  <w:sz w:val="24"/>
                                  <w:szCs w:val="21"/>
                                </w:rPr>
                                <w:t>居民身份证复印件粘贴处</w:t>
                              </w:r>
                            </w:p>
                            <w:p w14:paraId="3CCA49C7">
                              <w:pPr>
                                <w:jc w:val="center"/>
                                <w:rPr>
                                  <w:rFonts w:eastAsia="宋体"/>
                                  <w:sz w:val="24"/>
                                  <w:szCs w:val="21"/>
                                </w:rPr>
                              </w:pPr>
                              <w:r>
                                <w:rPr>
                                  <w:rFonts w:hint="eastAsia" w:eastAsia="宋体"/>
                                  <w:sz w:val="24"/>
                                  <w:szCs w:val="21"/>
                                </w:rPr>
                                <w:t>（正面）</w:t>
                              </w:r>
                            </w:p>
                            <w:p w14:paraId="4D510DBB">
                              <w:pPr>
                                <w:ind w:firstLine="1500" w:firstLineChars="500"/>
                              </w:pPr>
                            </w:p>
                          </w:txbxContent>
                        </wps:txbx>
                        <wps:bodyPr rot="0" vert="horz" wrap="square" lIns="91440" tIns="45720" rIns="91440" bIns="45720" anchor="t" anchorCtr="0" upright="1">
                          <a:noAutofit/>
                        </wps:bodyPr>
                      </wps:wsp>
                      <wps:wsp>
                        <wps:cNvPr id="3" name="矩形 14"/>
                        <wps:cNvSpPr>
                          <a:spLocks noChangeArrowheads="1"/>
                        </wps:cNvSpPr>
                        <wps:spPr bwMode="auto">
                          <a:xfrm>
                            <a:off x="5956" y="7300"/>
                            <a:ext cx="4289" cy="2754"/>
                          </a:xfrm>
                          <a:prstGeom prst="rect">
                            <a:avLst/>
                          </a:prstGeom>
                          <a:solidFill>
                            <a:srgbClr val="FFFFFF"/>
                          </a:solidFill>
                          <a:ln w="9525">
                            <a:solidFill>
                              <a:srgbClr val="000000"/>
                            </a:solidFill>
                            <a:miter lim="800000"/>
                          </a:ln>
                        </wps:spPr>
                        <wps:txbx>
                          <w:txbxContent>
                            <w:p w14:paraId="2E8AC40E">
                              <w:pPr>
                                <w:ind w:firstLine="1200" w:firstLineChars="400"/>
                              </w:pPr>
                            </w:p>
                            <w:p w14:paraId="25BF761E">
                              <w:pPr>
                                <w:ind w:firstLine="1200" w:firstLineChars="400"/>
                              </w:pPr>
                            </w:p>
                            <w:p w14:paraId="426D1246">
                              <w:pPr>
                                <w:jc w:val="center"/>
                                <w:rPr>
                                  <w:rFonts w:eastAsia="宋体"/>
                                  <w:sz w:val="24"/>
                                  <w:szCs w:val="21"/>
                                </w:rPr>
                              </w:pPr>
                              <w:r>
                                <w:rPr>
                                  <w:rFonts w:hint="eastAsia" w:eastAsia="宋体"/>
                                  <w:sz w:val="24"/>
                                  <w:szCs w:val="21"/>
                                </w:rPr>
                                <w:t>法定代表人</w:t>
                              </w:r>
                            </w:p>
                            <w:p w14:paraId="59485405">
                              <w:pPr>
                                <w:jc w:val="center"/>
                                <w:rPr>
                                  <w:rFonts w:eastAsia="宋体"/>
                                  <w:sz w:val="24"/>
                                  <w:szCs w:val="21"/>
                                </w:rPr>
                              </w:pPr>
                              <w:r>
                                <w:rPr>
                                  <w:rFonts w:hint="eastAsia" w:eastAsia="宋体"/>
                                  <w:sz w:val="24"/>
                                  <w:szCs w:val="21"/>
                                </w:rPr>
                                <w:t>居民身份证复印件粘贴处</w:t>
                              </w:r>
                            </w:p>
                            <w:p w14:paraId="6B854F47">
                              <w:pPr>
                                <w:jc w:val="center"/>
                                <w:rPr>
                                  <w:rFonts w:eastAsia="宋体"/>
                                  <w:sz w:val="24"/>
                                  <w:szCs w:val="21"/>
                                </w:rPr>
                              </w:pPr>
                              <w:r>
                                <w:rPr>
                                  <w:rFonts w:hint="eastAsia" w:eastAsia="宋体"/>
                                  <w:sz w:val="24"/>
                                  <w:szCs w:val="21"/>
                                </w:rPr>
                                <w:t>（反面）</w:t>
                              </w:r>
                            </w:p>
                            <w:p w14:paraId="08A9010C">
                              <w:pPr>
                                <w:ind w:firstLine="1500" w:firstLineChars="500"/>
                              </w:pPr>
                            </w:p>
                          </w:txbxContent>
                        </wps:txbx>
                        <wps:bodyPr rot="0" vert="horz" wrap="square" lIns="91440" tIns="45720" rIns="91440" bIns="45720" anchor="t" anchorCtr="0" upright="1">
                          <a:noAutofit/>
                        </wps:bodyPr>
                      </wps:wsp>
                    </wpg:wgp>
                  </a:graphicData>
                </a:graphic>
              </wp:anchor>
            </w:drawing>
          </mc:Choice>
          <mc:Fallback>
            <w:pict>
              <v:group id="组合 12" o:spid="_x0000_s1026" o:spt="203" style="position:absolute;left:0pt;margin-left:15.75pt;margin-top:8.4pt;height:137.7pt;width:437.25pt;z-index:251661312;mso-width-relative:page;mso-height-relative:page;" coordorigin="1500,7300" coordsize="8745,2754" o:gfxdata="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Kl2nvdkAAAAJAQAADwAAAAAAAAABACAAAAAiAAAAZHJzL2Rvd25yZXYueG1sUEsB&#10;AhQAFAAAAAgAh07iQLg3n23YAgAATAgAAA4AAAAAAAAAAQAgAAAAKAEAAGRycy9lMm9Eb2MueG1s&#10;UEsFBgAAAAAGAAYAWQEAAHIGAAAAAA==&#10;">
                <o:lock v:ext="edit" aspectratio="f"/>
                <v:rect id="矩形 13" o:spid="_x0000_s1026" o:spt="1" style="position:absolute;left:1500;top:7300;height:2754;width:4275;"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595E9E55">
                        <w:pPr>
                          <w:ind w:firstLine="1200" w:firstLineChars="400"/>
                        </w:pPr>
                      </w:p>
                      <w:p w14:paraId="0E8AE154">
                        <w:pPr>
                          <w:ind w:firstLine="1200" w:firstLineChars="400"/>
                        </w:pPr>
                      </w:p>
                      <w:p w14:paraId="3872A530">
                        <w:pPr>
                          <w:jc w:val="center"/>
                          <w:rPr>
                            <w:rFonts w:eastAsia="宋体"/>
                            <w:sz w:val="24"/>
                            <w:szCs w:val="21"/>
                          </w:rPr>
                        </w:pPr>
                        <w:r>
                          <w:rPr>
                            <w:rFonts w:hint="eastAsia" w:eastAsia="宋体"/>
                            <w:sz w:val="24"/>
                            <w:szCs w:val="21"/>
                          </w:rPr>
                          <w:t>法定代表人</w:t>
                        </w:r>
                      </w:p>
                      <w:p w14:paraId="71522581">
                        <w:pPr>
                          <w:jc w:val="center"/>
                          <w:rPr>
                            <w:rFonts w:eastAsia="宋体"/>
                            <w:sz w:val="24"/>
                            <w:szCs w:val="21"/>
                          </w:rPr>
                        </w:pPr>
                        <w:r>
                          <w:rPr>
                            <w:rFonts w:hint="eastAsia" w:eastAsia="宋体"/>
                            <w:sz w:val="24"/>
                            <w:szCs w:val="21"/>
                          </w:rPr>
                          <w:t>居民身份证复印件粘贴处</w:t>
                        </w:r>
                      </w:p>
                      <w:p w14:paraId="3CCA49C7">
                        <w:pPr>
                          <w:jc w:val="center"/>
                          <w:rPr>
                            <w:rFonts w:eastAsia="宋体"/>
                            <w:sz w:val="24"/>
                            <w:szCs w:val="21"/>
                          </w:rPr>
                        </w:pPr>
                        <w:r>
                          <w:rPr>
                            <w:rFonts w:hint="eastAsia" w:eastAsia="宋体"/>
                            <w:sz w:val="24"/>
                            <w:szCs w:val="21"/>
                          </w:rPr>
                          <w:t>（正面）</w:t>
                        </w:r>
                      </w:p>
                      <w:p w14:paraId="4D510DBB">
                        <w:pPr>
                          <w:ind w:firstLine="1500" w:firstLineChars="500"/>
                        </w:pPr>
                      </w:p>
                    </w:txbxContent>
                  </v:textbox>
                </v:rect>
                <v:rect id="矩形 14" o:spid="_x0000_s1026" o:spt="1" style="position:absolute;left:5956;top:7300;height:2754;width:428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2E8AC40E">
                        <w:pPr>
                          <w:ind w:firstLine="1200" w:firstLineChars="400"/>
                        </w:pPr>
                      </w:p>
                      <w:p w14:paraId="25BF761E">
                        <w:pPr>
                          <w:ind w:firstLine="1200" w:firstLineChars="400"/>
                        </w:pPr>
                      </w:p>
                      <w:p w14:paraId="426D1246">
                        <w:pPr>
                          <w:jc w:val="center"/>
                          <w:rPr>
                            <w:rFonts w:eastAsia="宋体"/>
                            <w:sz w:val="24"/>
                            <w:szCs w:val="21"/>
                          </w:rPr>
                        </w:pPr>
                        <w:r>
                          <w:rPr>
                            <w:rFonts w:hint="eastAsia" w:eastAsia="宋体"/>
                            <w:sz w:val="24"/>
                            <w:szCs w:val="21"/>
                          </w:rPr>
                          <w:t>法定代表人</w:t>
                        </w:r>
                      </w:p>
                      <w:p w14:paraId="59485405">
                        <w:pPr>
                          <w:jc w:val="center"/>
                          <w:rPr>
                            <w:rFonts w:eastAsia="宋体"/>
                            <w:sz w:val="24"/>
                            <w:szCs w:val="21"/>
                          </w:rPr>
                        </w:pPr>
                        <w:r>
                          <w:rPr>
                            <w:rFonts w:hint="eastAsia" w:eastAsia="宋体"/>
                            <w:sz w:val="24"/>
                            <w:szCs w:val="21"/>
                          </w:rPr>
                          <w:t>居民身份证复印件粘贴处</w:t>
                        </w:r>
                      </w:p>
                      <w:p w14:paraId="6B854F47">
                        <w:pPr>
                          <w:jc w:val="center"/>
                          <w:rPr>
                            <w:rFonts w:eastAsia="宋体"/>
                            <w:sz w:val="24"/>
                            <w:szCs w:val="21"/>
                          </w:rPr>
                        </w:pPr>
                        <w:r>
                          <w:rPr>
                            <w:rFonts w:hint="eastAsia" w:eastAsia="宋体"/>
                            <w:sz w:val="24"/>
                            <w:szCs w:val="21"/>
                          </w:rPr>
                          <w:t>（反面）</w:t>
                        </w:r>
                      </w:p>
                      <w:p w14:paraId="08A9010C">
                        <w:pPr>
                          <w:ind w:firstLine="1500" w:firstLineChars="500"/>
                        </w:pPr>
                      </w:p>
                    </w:txbxContent>
                  </v:textbox>
                </v:rect>
              </v:group>
            </w:pict>
          </mc:Fallback>
        </mc:AlternateContent>
      </w:r>
    </w:p>
    <w:p w14:paraId="2F01779D">
      <w:pPr>
        <w:tabs>
          <w:tab w:val="left" w:pos="3780"/>
        </w:tabs>
        <w:spacing w:line="360" w:lineRule="auto"/>
        <w:rPr>
          <w:rFonts w:eastAsia="宋体"/>
          <w:bCs/>
          <w:sz w:val="24"/>
          <w:szCs w:val="21"/>
        </w:rPr>
      </w:pPr>
    </w:p>
    <w:p w14:paraId="2182FABB">
      <w:pPr>
        <w:tabs>
          <w:tab w:val="left" w:pos="3780"/>
        </w:tabs>
        <w:spacing w:line="360" w:lineRule="auto"/>
        <w:rPr>
          <w:rFonts w:eastAsia="宋体"/>
          <w:bCs/>
          <w:sz w:val="24"/>
          <w:szCs w:val="21"/>
        </w:rPr>
      </w:pPr>
    </w:p>
    <w:p w14:paraId="1884C10E">
      <w:pPr>
        <w:tabs>
          <w:tab w:val="left" w:pos="3780"/>
        </w:tabs>
        <w:spacing w:line="360" w:lineRule="auto"/>
        <w:rPr>
          <w:rFonts w:eastAsia="宋体"/>
          <w:bCs/>
          <w:sz w:val="24"/>
          <w:szCs w:val="21"/>
        </w:rPr>
      </w:pPr>
    </w:p>
    <w:p w14:paraId="6B26D29F">
      <w:pPr>
        <w:tabs>
          <w:tab w:val="left" w:pos="3780"/>
        </w:tabs>
        <w:spacing w:line="360" w:lineRule="auto"/>
        <w:rPr>
          <w:rFonts w:eastAsia="宋体"/>
          <w:bCs/>
          <w:sz w:val="24"/>
          <w:szCs w:val="21"/>
        </w:rPr>
      </w:pPr>
    </w:p>
    <w:p w14:paraId="72962575">
      <w:pPr>
        <w:tabs>
          <w:tab w:val="left" w:pos="3780"/>
        </w:tabs>
        <w:spacing w:line="360" w:lineRule="auto"/>
        <w:rPr>
          <w:rFonts w:eastAsia="宋体"/>
          <w:bCs/>
          <w:sz w:val="24"/>
          <w:szCs w:val="21"/>
        </w:rPr>
      </w:pPr>
    </w:p>
    <w:p w14:paraId="64B7DF29">
      <w:pPr>
        <w:tabs>
          <w:tab w:val="left" w:pos="3780"/>
        </w:tabs>
        <w:spacing w:line="360" w:lineRule="auto"/>
        <w:rPr>
          <w:rFonts w:eastAsia="宋体"/>
          <w:bCs/>
          <w:sz w:val="24"/>
          <w:szCs w:val="21"/>
        </w:rPr>
      </w:pPr>
    </w:p>
    <w:p w14:paraId="2780766A">
      <w:pPr>
        <w:spacing w:line="360" w:lineRule="auto"/>
        <w:rPr>
          <w:rFonts w:eastAsia="宋体"/>
          <w:b/>
          <w:sz w:val="24"/>
          <w:szCs w:val="21"/>
        </w:rPr>
      </w:pPr>
    </w:p>
    <w:p w14:paraId="353D72CD">
      <w:pPr>
        <w:pStyle w:val="4"/>
        <w:keepNext w:val="0"/>
        <w:keepLines w:val="0"/>
        <w:spacing w:before="0" w:after="0" w:line="360" w:lineRule="auto"/>
        <w:jc w:val="center"/>
        <w:rPr>
          <w:rFonts w:ascii="Times New Roman" w:hAnsi="Times New Roman" w:eastAsia="宋体"/>
          <w:bCs/>
          <w:sz w:val="24"/>
          <w:szCs w:val="21"/>
        </w:rPr>
      </w:pPr>
      <w:r>
        <w:rPr>
          <w:rFonts w:ascii="Times New Roman" w:hAnsi="Times New Roman" w:eastAsia="宋体"/>
          <w:bCs/>
          <w:sz w:val="24"/>
          <w:szCs w:val="21"/>
        </w:rPr>
        <w:br w:type="page"/>
      </w:r>
      <w:bookmarkStart w:id="231" w:name="_Toc50737329"/>
      <w:bookmarkStart w:id="232" w:name="_Toc416770259"/>
      <w:bookmarkStart w:id="233" w:name="_Toc52165081"/>
      <w:bookmarkStart w:id="234" w:name="_Toc410738980"/>
      <w:bookmarkStart w:id="235" w:name="_Toc50737297"/>
      <w:bookmarkStart w:id="236" w:name="_Toc169861833"/>
      <w:bookmarkStart w:id="237" w:name="_Toc416771369"/>
      <w:bookmarkStart w:id="238" w:name="_Toc50736477"/>
      <w:bookmarkStart w:id="239" w:name="_Toc410736181"/>
      <w:bookmarkStart w:id="240" w:name="_Toc275865607"/>
      <w:r>
        <w:rPr>
          <w:rFonts w:hint="eastAsia" w:ascii="Times New Roman" w:hAnsi="Times New Roman" w:eastAsia="宋体"/>
          <w:bCs/>
          <w:sz w:val="24"/>
          <w:szCs w:val="21"/>
          <w:lang w:val="en-US" w:eastAsia="zh-CN"/>
        </w:rPr>
        <w:t>七</w:t>
      </w:r>
      <w:r>
        <w:rPr>
          <w:rFonts w:ascii="Times New Roman" w:hAnsi="Times New Roman" w:eastAsia="宋体"/>
          <w:bCs/>
          <w:sz w:val="24"/>
          <w:szCs w:val="21"/>
        </w:rPr>
        <w:t>、</w:t>
      </w:r>
      <w:r>
        <w:rPr>
          <w:rFonts w:hint="eastAsia" w:ascii="Times New Roman" w:hAnsi="Times New Roman" w:eastAsia="宋体"/>
          <w:bCs/>
          <w:sz w:val="24"/>
          <w:szCs w:val="21"/>
        </w:rPr>
        <w:t>法定代表人授权委托书</w:t>
      </w:r>
      <w:bookmarkEnd w:id="231"/>
      <w:bookmarkEnd w:id="232"/>
      <w:bookmarkEnd w:id="233"/>
      <w:bookmarkEnd w:id="234"/>
      <w:bookmarkEnd w:id="235"/>
      <w:bookmarkEnd w:id="236"/>
      <w:bookmarkEnd w:id="237"/>
      <w:bookmarkEnd w:id="238"/>
      <w:bookmarkEnd w:id="239"/>
      <w:bookmarkEnd w:id="240"/>
    </w:p>
    <w:p w14:paraId="55A71AFF">
      <w:pPr>
        <w:adjustRightInd w:val="0"/>
        <w:snapToGrid w:val="0"/>
        <w:spacing w:line="360" w:lineRule="auto"/>
        <w:ind w:firstLine="420" w:firstLineChars="200"/>
        <w:rPr>
          <w:rFonts w:ascii="宋体" w:hAnsi="Courier New" w:eastAsia="宋体"/>
          <w:sz w:val="21"/>
          <w:szCs w:val="24"/>
        </w:rPr>
      </w:pPr>
    </w:p>
    <w:p w14:paraId="3E22B622">
      <w:pPr>
        <w:adjustRightInd w:val="0"/>
        <w:snapToGrid w:val="0"/>
        <w:spacing w:line="360" w:lineRule="auto"/>
        <w:ind w:firstLine="480" w:firstLineChars="200"/>
        <w:rPr>
          <w:rFonts w:ascii="宋体" w:hAnsi="Courier New" w:eastAsia="宋体"/>
          <w:sz w:val="24"/>
          <w:szCs w:val="24"/>
        </w:rPr>
      </w:pPr>
      <w:r>
        <w:rPr>
          <w:rFonts w:hint="eastAsia" w:ascii="宋体" w:hAnsi="Courier New" w:eastAsia="宋体"/>
          <w:sz w:val="24"/>
          <w:szCs w:val="24"/>
        </w:rPr>
        <w:t>本授权书声明：注册于</w:t>
      </w:r>
      <w:r>
        <w:rPr>
          <w:rFonts w:hint="eastAsia" w:ascii="宋体" w:hAnsi="Courier New" w:eastAsia="宋体"/>
          <w:sz w:val="24"/>
          <w:szCs w:val="24"/>
          <w:u w:val="single"/>
        </w:rPr>
        <w:t>（国家或地区的名称）</w:t>
      </w:r>
      <w:r>
        <w:rPr>
          <w:rFonts w:hint="eastAsia" w:ascii="宋体" w:hAnsi="Courier New" w:eastAsia="宋体"/>
          <w:sz w:val="24"/>
          <w:szCs w:val="24"/>
        </w:rPr>
        <w:t>的</w:t>
      </w:r>
      <w:r>
        <w:rPr>
          <w:rFonts w:hint="eastAsia" w:ascii="宋体" w:hAnsi="Courier New" w:eastAsia="宋体"/>
          <w:sz w:val="24"/>
          <w:szCs w:val="24"/>
          <w:u w:val="single"/>
        </w:rPr>
        <w:t>（供应商名称）</w:t>
      </w:r>
      <w:r>
        <w:rPr>
          <w:rFonts w:hint="eastAsia" w:ascii="宋体" w:hAnsi="Courier New" w:eastAsia="宋体"/>
          <w:sz w:val="24"/>
          <w:szCs w:val="24"/>
        </w:rPr>
        <w:t>的在下面签字（或签章）的</w:t>
      </w:r>
      <w:r>
        <w:rPr>
          <w:rFonts w:hint="eastAsia" w:ascii="宋体" w:hAnsi="Courier New" w:eastAsia="宋体"/>
          <w:sz w:val="24"/>
          <w:szCs w:val="24"/>
          <w:u w:val="single"/>
        </w:rPr>
        <w:t>（法定代表人姓名、职务）</w:t>
      </w:r>
      <w:r>
        <w:rPr>
          <w:rFonts w:hint="eastAsia" w:ascii="宋体" w:hAnsi="Courier New" w:eastAsia="宋体"/>
          <w:sz w:val="24"/>
          <w:szCs w:val="24"/>
        </w:rPr>
        <w:t>代表本公司授权</w:t>
      </w:r>
      <w:r>
        <w:rPr>
          <w:rFonts w:hint="eastAsia" w:ascii="宋体" w:hAnsi="Courier New" w:eastAsia="宋体"/>
          <w:sz w:val="24"/>
          <w:szCs w:val="24"/>
          <w:u w:val="single"/>
        </w:rPr>
        <w:t xml:space="preserve"> （单位名称）</w:t>
      </w:r>
      <w:r>
        <w:rPr>
          <w:rFonts w:hint="eastAsia" w:ascii="宋体" w:hAnsi="Courier New" w:eastAsia="宋体"/>
          <w:sz w:val="24"/>
          <w:szCs w:val="24"/>
        </w:rPr>
        <w:t>的在下面签字的</w:t>
      </w:r>
      <w:r>
        <w:rPr>
          <w:rFonts w:hint="eastAsia" w:ascii="宋体" w:hAnsi="Courier New" w:eastAsia="宋体"/>
          <w:sz w:val="24"/>
          <w:szCs w:val="24"/>
          <w:u w:val="single"/>
        </w:rPr>
        <w:t>（被授权人的姓名、职务）</w:t>
      </w:r>
      <w:r>
        <w:rPr>
          <w:rFonts w:hint="eastAsia" w:ascii="宋体" w:hAnsi="Courier New" w:eastAsia="宋体"/>
          <w:sz w:val="24"/>
          <w:szCs w:val="24"/>
        </w:rPr>
        <w:t xml:space="preserve">为本公司的合法代理人，就 </w:t>
      </w:r>
      <w:r>
        <w:rPr>
          <w:rFonts w:hint="eastAsia" w:ascii="宋体" w:hAnsi="Courier New" w:eastAsia="宋体"/>
          <w:sz w:val="24"/>
          <w:szCs w:val="24"/>
          <w:u w:val="single"/>
          <w:lang w:eastAsia="zh-CN"/>
        </w:rPr>
        <w:t>开平市中心医院病案密集架采购项目</w:t>
      </w:r>
      <w:r>
        <w:rPr>
          <w:rFonts w:hint="eastAsia" w:ascii="宋体" w:hAnsi="Courier New" w:eastAsia="宋体"/>
          <w:sz w:val="24"/>
          <w:szCs w:val="24"/>
          <w:u w:val="single"/>
        </w:rPr>
        <w:t xml:space="preserve"> </w:t>
      </w:r>
      <w:r>
        <w:rPr>
          <w:rFonts w:hint="eastAsia" w:ascii="宋体" w:hAnsi="Courier New" w:eastAsia="宋体"/>
          <w:sz w:val="24"/>
          <w:szCs w:val="24"/>
        </w:rPr>
        <w:t>项目的</w:t>
      </w:r>
      <w:r>
        <w:rPr>
          <w:rFonts w:hint="eastAsia" w:ascii="宋体" w:hAnsi="Courier New" w:eastAsia="宋体"/>
          <w:sz w:val="24"/>
          <w:szCs w:val="24"/>
          <w:lang w:val="en-US" w:eastAsia="zh-CN"/>
        </w:rPr>
        <w:t>遴选</w:t>
      </w:r>
      <w:r>
        <w:rPr>
          <w:rFonts w:hint="eastAsia" w:ascii="宋体" w:hAnsi="Courier New" w:eastAsia="宋体"/>
          <w:sz w:val="24"/>
          <w:szCs w:val="24"/>
        </w:rPr>
        <w:t>，以本公司名义处理一切与之有关的事务。</w:t>
      </w:r>
    </w:p>
    <w:p w14:paraId="1E63E726">
      <w:pPr>
        <w:adjustRightInd w:val="0"/>
        <w:snapToGrid w:val="0"/>
        <w:spacing w:line="360" w:lineRule="auto"/>
        <w:ind w:firstLine="480" w:firstLineChars="200"/>
        <w:rPr>
          <w:rFonts w:eastAsia="宋体"/>
          <w:sz w:val="24"/>
          <w:szCs w:val="21"/>
        </w:rPr>
      </w:pPr>
      <w:r>
        <w:rPr>
          <w:rFonts w:hint="eastAsia" w:eastAsia="宋体"/>
          <w:sz w:val="24"/>
          <w:szCs w:val="21"/>
        </w:rPr>
        <w:t>被授权人（供应商授权代表）无转委托权限。</w:t>
      </w:r>
    </w:p>
    <w:p w14:paraId="71F03546">
      <w:pPr>
        <w:snapToGrid w:val="0"/>
        <w:spacing w:line="360" w:lineRule="auto"/>
        <w:ind w:firstLine="480" w:firstLineChars="200"/>
        <w:rPr>
          <w:rFonts w:eastAsia="宋体"/>
          <w:sz w:val="24"/>
          <w:szCs w:val="21"/>
        </w:rPr>
      </w:pPr>
      <w:r>
        <w:rPr>
          <w:rFonts w:hint="eastAsia" w:eastAsia="宋体"/>
          <w:sz w:val="24"/>
          <w:szCs w:val="21"/>
        </w:rPr>
        <w:t>本授权书自法定代表人签字（盖章）之日起生效，特此声明。</w:t>
      </w:r>
    </w:p>
    <w:p w14:paraId="31CDEE3A">
      <w:pPr>
        <w:spacing w:line="360" w:lineRule="auto"/>
        <w:ind w:left="3" w:leftChars="1" w:firstLine="1365" w:firstLineChars="650"/>
        <w:rPr>
          <w:rFonts w:ascii="宋体" w:hAnsi="宋体" w:eastAsia="宋体"/>
          <w:sz w:val="21"/>
          <w:szCs w:val="24"/>
        </w:rPr>
      </w:pPr>
    </w:p>
    <w:p w14:paraId="030212D6">
      <w:pPr>
        <w:spacing w:line="360" w:lineRule="auto"/>
        <w:rPr>
          <w:rFonts w:ascii="宋体" w:hAnsi="Calibri" w:eastAsia="宋体"/>
          <w:sz w:val="21"/>
          <w:szCs w:val="24"/>
        </w:rPr>
      </w:pPr>
    </w:p>
    <w:p w14:paraId="4609AB4F">
      <w:pPr>
        <w:spacing w:line="360" w:lineRule="auto"/>
        <w:rPr>
          <w:rFonts w:eastAsia="宋体"/>
          <w:sz w:val="24"/>
          <w:szCs w:val="21"/>
        </w:rPr>
      </w:pPr>
      <w:r>
        <w:rPr>
          <w:rFonts w:hint="eastAsia" w:eastAsia="宋体"/>
          <w:sz w:val="24"/>
          <w:szCs w:val="21"/>
        </w:rPr>
        <w:t>供应商名称（盖公章）：</w:t>
      </w:r>
      <w:r>
        <w:rPr>
          <w:rFonts w:hint="eastAsia" w:eastAsia="宋体"/>
          <w:sz w:val="24"/>
          <w:szCs w:val="21"/>
          <w:u w:val="single"/>
        </w:rPr>
        <w:t xml:space="preserve"> </w:t>
      </w:r>
      <w:r>
        <w:rPr>
          <w:rFonts w:eastAsia="宋体"/>
          <w:sz w:val="24"/>
          <w:szCs w:val="21"/>
          <w:u w:val="single"/>
        </w:rPr>
        <w:t xml:space="preserve">                </w:t>
      </w:r>
    </w:p>
    <w:p w14:paraId="626D72DD">
      <w:pPr>
        <w:spacing w:line="360" w:lineRule="auto"/>
        <w:rPr>
          <w:rFonts w:eastAsia="宋体"/>
          <w:sz w:val="24"/>
          <w:szCs w:val="21"/>
        </w:rPr>
      </w:pPr>
      <w:r>
        <w:rPr>
          <w:rFonts w:hint="eastAsia" w:eastAsia="宋体"/>
          <w:sz w:val="24"/>
          <w:szCs w:val="21"/>
        </w:rPr>
        <w:t>地      址：</w:t>
      </w:r>
      <w:r>
        <w:rPr>
          <w:rFonts w:hint="eastAsia" w:eastAsia="宋体"/>
          <w:sz w:val="24"/>
          <w:szCs w:val="21"/>
          <w:u w:val="single"/>
        </w:rPr>
        <w:t xml:space="preserve">                            </w:t>
      </w:r>
    </w:p>
    <w:p w14:paraId="7A1A6246">
      <w:pPr>
        <w:tabs>
          <w:tab w:val="left" w:pos="3780"/>
        </w:tabs>
        <w:spacing w:line="360" w:lineRule="auto"/>
        <w:rPr>
          <w:rFonts w:eastAsia="宋体"/>
          <w:sz w:val="24"/>
          <w:szCs w:val="21"/>
        </w:rPr>
      </w:pPr>
      <w:r>
        <w:rPr>
          <w:rFonts w:hint="eastAsia" w:eastAsia="宋体"/>
          <w:sz w:val="24"/>
          <w:szCs w:val="21"/>
        </w:rPr>
        <w:t>法定代表人（签字或盖章）：</w:t>
      </w:r>
      <w:r>
        <w:rPr>
          <w:rFonts w:hint="eastAsia" w:eastAsia="宋体"/>
          <w:sz w:val="24"/>
          <w:szCs w:val="21"/>
          <w:u w:val="single"/>
        </w:rPr>
        <w:t xml:space="preserve">                 </w:t>
      </w:r>
      <w:r>
        <w:rPr>
          <w:rFonts w:hint="eastAsia" w:eastAsia="宋体"/>
          <w:sz w:val="24"/>
          <w:szCs w:val="21"/>
        </w:rPr>
        <w:t xml:space="preserve">   </w:t>
      </w:r>
    </w:p>
    <w:p w14:paraId="43BD2C8B">
      <w:pPr>
        <w:tabs>
          <w:tab w:val="left" w:pos="3780"/>
        </w:tabs>
        <w:spacing w:line="360" w:lineRule="auto"/>
        <w:rPr>
          <w:rFonts w:eastAsia="宋体"/>
          <w:sz w:val="24"/>
          <w:szCs w:val="21"/>
        </w:rPr>
      </w:pPr>
      <w:r>
        <w:rPr>
          <w:rFonts w:hint="eastAsia" w:eastAsia="宋体"/>
          <w:sz w:val="24"/>
          <w:szCs w:val="21"/>
        </w:rPr>
        <w:t>日期：</w:t>
      </w:r>
      <w:r>
        <w:rPr>
          <w:rFonts w:hint="eastAsia" w:eastAsia="宋体"/>
          <w:sz w:val="24"/>
          <w:szCs w:val="21"/>
          <w:u w:val="single"/>
        </w:rPr>
        <w:t xml:space="preserve">     </w:t>
      </w:r>
      <w:r>
        <w:rPr>
          <w:rFonts w:hint="eastAsia" w:eastAsia="宋体"/>
          <w:sz w:val="24"/>
          <w:szCs w:val="21"/>
        </w:rPr>
        <w:t>年</w:t>
      </w:r>
      <w:r>
        <w:rPr>
          <w:rFonts w:hint="eastAsia" w:eastAsia="宋体"/>
          <w:sz w:val="24"/>
          <w:szCs w:val="21"/>
          <w:u w:val="single"/>
        </w:rPr>
        <w:t xml:space="preserve">   </w:t>
      </w:r>
      <w:r>
        <w:rPr>
          <w:rFonts w:hint="eastAsia" w:eastAsia="宋体"/>
          <w:sz w:val="24"/>
          <w:szCs w:val="21"/>
        </w:rPr>
        <w:t>月</w:t>
      </w:r>
      <w:r>
        <w:rPr>
          <w:rFonts w:hint="eastAsia" w:eastAsia="宋体"/>
          <w:sz w:val="24"/>
          <w:szCs w:val="21"/>
          <w:u w:val="single"/>
        </w:rPr>
        <w:t xml:space="preserve">   </w:t>
      </w:r>
      <w:r>
        <w:rPr>
          <w:rFonts w:hint="eastAsia" w:eastAsia="宋体"/>
          <w:sz w:val="24"/>
          <w:szCs w:val="21"/>
        </w:rPr>
        <w:t>日</w:t>
      </w:r>
      <w:bookmarkStart w:id="241" w:name="_Toc467236781"/>
      <w:bookmarkStart w:id="242" w:name="_Toc464021124"/>
      <w:bookmarkStart w:id="243" w:name="_Toc479991624"/>
      <w:bookmarkStart w:id="244" w:name="_Toc480021092"/>
      <w:bookmarkStart w:id="245" w:name="_Toc35233731"/>
      <w:bookmarkStart w:id="246" w:name="_Toc480020296"/>
      <w:bookmarkStart w:id="247" w:name="_Toc468157577"/>
      <w:bookmarkStart w:id="248" w:name="_Toc480171921"/>
      <w:bookmarkStart w:id="249" w:name="_Toc467035692"/>
      <w:bookmarkStart w:id="250" w:name="_Toc480010749"/>
      <w:bookmarkStart w:id="251" w:name="_Toc467987864"/>
      <w:bookmarkStart w:id="252" w:name="_Toc468606072"/>
    </w:p>
    <w:p w14:paraId="04B472EF">
      <w:pPr>
        <w:tabs>
          <w:tab w:val="left" w:pos="3780"/>
        </w:tabs>
        <w:spacing w:line="360" w:lineRule="auto"/>
        <w:rPr>
          <w:rFonts w:eastAsia="宋体"/>
          <w:sz w:val="24"/>
          <w:szCs w:val="21"/>
        </w:rPr>
      </w:pPr>
    </w:p>
    <w:p w14:paraId="16918C67">
      <w:pPr>
        <w:tabs>
          <w:tab w:val="left" w:pos="3780"/>
        </w:tabs>
        <w:spacing w:line="360" w:lineRule="auto"/>
        <w:rPr>
          <w:rFonts w:ascii="宋体" w:hAnsi="宋体" w:eastAsia="宋体"/>
          <w:sz w:val="24"/>
          <w:szCs w:val="24"/>
        </w:rPr>
      </w:pPr>
      <w:r>
        <w:rPr>
          <w:rFonts w:hint="eastAsia" w:ascii="宋体" w:hAnsi="宋体" w:eastAsia="宋体"/>
          <w:sz w:val="24"/>
          <w:szCs w:val="24"/>
        </w:rPr>
        <w:t>附：被授权人身份证（正、反面）复印件（或扫描件）：</w:t>
      </w:r>
    </w:p>
    <w:p w14:paraId="64F8D04C">
      <w:pPr>
        <w:tabs>
          <w:tab w:val="left" w:pos="3780"/>
        </w:tabs>
        <w:spacing w:line="360" w:lineRule="auto"/>
        <w:rPr>
          <w:rFonts w:ascii="宋体" w:hAnsi="宋体" w:eastAsia="宋体"/>
          <w:sz w:val="21"/>
          <w:szCs w:val="24"/>
        </w:rPr>
      </w:pPr>
    </w:p>
    <w:p w14:paraId="6210ECF8">
      <w:pPr>
        <w:tabs>
          <w:tab w:val="left" w:pos="3780"/>
        </w:tabs>
        <w:spacing w:line="360" w:lineRule="auto"/>
        <w:rPr>
          <w:rFonts w:ascii="宋体" w:hAnsi="宋体" w:eastAsia="宋体"/>
          <w:sz w:val="21"/>
          <w:szCs w:val="24"/>
        </w:rPr>
      </w:pPr>
      <w:r>
        <w:rPr>
          <w:rFonts w:eastAsia="宋体"/>
          <w:bCs/>
          <w:sz w:val="24"/>
          <w:szCs w:val="21"/>
        </w:rPr>
        <mc:AlternateContent>
          <mc:Choice Requires="wpg">
            <w:drawing>
              <wp:anchor distT="0" distB="0" distL="114300" distR="114300" simplePos="0" relativeHeight="251660288" behindDoc="0" locked="0" layoutInCell="1" allowOverlap="1">
                <wp:simplePos x="0" y="0"/>
                <wp:positionH relativeFrom="column">
                  <wp:posOffset>38100</wp:posOffset>
                </wp:positionH>
                <wp:positionV relativeFrom="paragraph">
                  <wp:posOffset>144145</wp:posOffset>
                </wp:positionV>
                <wp:extent cx="5486400" cy="1751965"/>
                <wp:effectExtent l="7620" t="6350" r="11430" b="13335"/>
                <wp:wrapNone/>
                <wp:docPr id="4" name="组合 9"/>
                <wp:cNvGraphicFramePr/>
                <a:graphic xmlns:a="http://schemas.openxmlformats.org/drawingml/2006/main">
                  <a:graphicData uri="http://schemas.microsoft.com/office/word/2010/wordprocessingGroup">
                    <wpg:wgp>
                      <wpg:cNvGrpSpPr/>
                      <wpg:grpSpPr>
                        <a:xfrm>
                          <a:off x="0" y="0"/>
                          <a:ext cx="5486400" cy="1751965"/>
                          <a:chOff x="1350" y="9286"/>
                          <a:chExt cx="8640" cy="2759"/>
                        </a:xfrm>
                      </wpg:grpSpPr>
                      <wps:wsp>
                        <wps:cNvPr id="5" name="矩形 10"/>
                        <wps:cNvSpPr>
                          <a:spLocks noChangeArrowheads="1"/>
                        </wps:cNvSpPr>
                        <wps:spPr bwMode="auto">
                          <a:xfrm>
                            <a:off x="1350" y="9286"/>
                            <a:ext cx="4260" cy="2759"/>
                          </a:xfrm>
                          <a:prstGeom prst="rect">
                            <a:avLst/>
                          </a:prstGeom>
                          <a:solidFill>
                            <a:srgbClr val="FFFFFF"/>
                          </a:solidFill>
                          <a:ln w="9525">
                            <a:solidFill>
                              <a:srgbClr val="000000"/>
                            </a:solidFill>
                            <a:miter lim="800000"/>
                          </a:ln>
                        </wps:spPr>
                        <wps:txbx>
                          <w:txbxContent>
                            <w:p w14:paraId="1A487600">
                              <w:pPr>
                                <w:ind w:left="-53" w:leftChars="-71" w:hanging="160" w:hangingChars="67"/>
                                <w:jc w:val="center"/>
                                <w:rPr>
                                  <w:rFonts w:eastAsia="宋体"/>
                                  <w:sz w:val="24"/>
                                  <w:szCs w:val="21"/>
                                </w:rPr>
                              </w:pPr>
                            </w:p>
                            <w:p w14:paraId="5963ED6E">
                              <w:pPr>
                                <w:ind w:left="-53" w:leftChars="-71" w:hanging="160" w:hangingChars="67"/>
                                <w:jc w:val="center"/>
                                <w:rPr>
                                  <w:rFonts w:eastAsia="宋体"/>
                                  <w:sz w:val="24"/>
                                  <w:szCs w:val="21"/>
                                </w:rPr>
                              </w:pPr>
                            </w:p>
                            <w:p w14:paraId="68974CBB">
                              <w:pPr>
                                <w:ind w:left="-53" w:leftChars="-71" w:hanging="160" w:hangingChars="67"/>
                                <w:jc w:val="center"/>
                                <w:rPr>
                                  <w:rFonts w:eastAsia="宋体"/>
                                  <w:sz w:val="24"/>
                                  <w:szCs w:val="21"/>
                                </w:rPr>
                              </w:pPr>
                              <w:r>
                                <w:rPr>
                                  <w:rFonts w:hint="eastAsia" w:eastAsia="宋体"/>
                                  <w:sz w:val="24"/>
                                  <w:szCs w:val="21"/>
                                </w:rPr>
                                <w:t>被授权人（授权代表）</w:t>
                              </w:r>
                            </w:p>
                            <w:p w14:paraId="40EFDE8C">
                              <w:pPr>
                                <w:jc w:val="center"/>
                                <w:rPr>
                                  <w:rFonts w:eastAsia="宋体"/>
                                  <w:sz w:val="24"/>
                                  <w:szCs w:val="21"/>
                                </w:rPr>
                              </w:pPr>
                              <w:r>
                                <w:rPr>
                                  <w:rFonts w:hint="eastAsia" w:eastAsia="宋体"/>
                                  <w:sz w:val="24"/>
                                  <w:szCs w:val="21"/>
                                </w:rPr>
                                <w:t>身份证复印件粘贴处</w:t>
                              </w:r>
                            </w:p>
                            <w:p w14:paraId="0C0AA92F">
                              <w:pPr>
                                <w:jc w:val="center"/>
                                <w:rPr>
                                  <w:rFonts w:eastAsia="宋体"/>
                                  <w:sz w:val="24"/>
                                  <w:szCs w:val="21"/>
                                </w:rPr>
                              </w:pPr>
                              <w:r>
                                <w:rPr>
                                  <w:rFonts w:hint="eastAsia" w:eastAsia="宋体"/>
                                  <w:sz w:val="24"/>
                                  <w:szCs w:val="21"/>
                                </w:rPr>
                                <w:t>（正面）</w:t>
                              </w:r>
                            </w:p>
                            <w:p w14:paraId="4553503C"/>
                            <w:p w14:paraId="4B535379"/>
                          </w:txbxContent>
                        </wps:txbx>
                        <wps:bodyPr rot="0" vert="horz" wrap="square" lIns="91440" tIns="45720" rIns="91440" bIns="45720" anchor="t" anchorCtr="0" upright="1">
                          <a:noAutofit/>
                        </wps:bodyPr>
                      </wps:wsp>
                      <wps:wsp>
                        <wps:cNvPr id="6" name="矩形 11"/>
                        <wps:cNvSpPr>
                          <a:spLocks noChangeArrowheads="1"/>
                        </wps:cNvSpPr>
                        <wps:spPr bwMode="auto">
                          <a:xfrm>
                            <a:off x="5754" y="9286"/>
                            <a:ext cx="4236" cy="2759"/>
                          </a:xfrm>
                          <a:prstGeom prst="rect">
                            <a:avLst/>
                          </a:prstGeom>
                          <a:solidFill>
                            <a:srgbClr val="FFFFFF"/>
                          </a:solidFill>
                          <a:ln w="9525">
                            <a:solidFill>
                              <a:srgbClr val="000000"/>
                            </a:solidFill>
                            <a:miter lim="800000"/>
                          </a:ln>
                        </wps:spPr>
                        <wps:txbx>
                          <w:txbxContent>
                            <w:p w14:paraId="7F9C3F48">
                              <w:pPr>
                                <w:ind w:left="-53" w:leftChars="-71" w:hanging="160" w:hangingChars="67"/>
                                <w:jc w:val="center"/>
                                <w:rPr>
                                  <w:rFonts w:eastAsia="宋体"/>
                                  <w:sz w:val="24"/>
                                  <w:szCs w:val="21"/>
                                </w:rPr>
                              </w:pPr>
                            </w:p>
                            <w:p w14:paraId="3ED32238">
                              <w:pPr>
                                <w:ind w:left="-53" w:leftChars="-71" w:hanging="160" w:hangingChars="67"/>
                                <w:jc w:val="center"/>
                                <w:rPr>
                                  <w:rFonts w:eastAsia="宋体"/>
                                  <w:sz w:val="24"/>
                                  <w:szCs w:val="21"/>
                                </w:rPr>
                              </w:pPr>
                            </w:p>
                            <w:p w14:paraId="07349E55">
                              <w:pPr>
                                <w:ind w:left="-53" w:leftChars="-71" w:hanging="160" w:hangingChars="67"/>
                                <w:jc w:val="center"/>
                                <w:rPr>
                                  <w:rFonts w:eastAsia="宋体"/>
                                  <w:sz w:val="24"/>
                                  <w:szCs w:val="21"/>
                                </w:rPr>
                              </w:pPr>
                              <w:r>
                                <w:rPr>
                                  <w:rFonts w:hint="eastAsia" w:eastAsia="宋体"/>
                                  <w:sz w:val="24"/>
                                  <w:szCs w:val="21"/>
                                </w:rPr>
                                <w:t>被授权人（授权代表）</w:t>
                              </w:r>
                            </w:p>
                            <w:p w14:paraId="2620D2DA">
                              <w:pPr>
                                <w:jc w:val="center"/>
                                <w:rPr>
                                  <w:rFonts w:eastAsia="宋体"/>
                                  <w:sz w:val="24"/>
                                  <w:szCs w:val="21"/>
                                </w:rPr>
                              </w:pPr>
                              <w:r>
                                <w:rPr>
                                  <w:rFonts w:hint="eastAsia" w:eastAsia="宋体"/>
                                  <w:sz w:val="24"/>
                                  <w:szCs w:val="21"/>
                                </w:rPr>
                                <w:t>身份证复印件粘贴处</w:t>
                              </w:r>
                            </w:p>
                            <w:p w14:paraId="697C918C">
                              <w:pPr>
                                <w:jc w:val="center"/>
                                <w:rPr>
                                  <w:rFonts w:eastAsia="宋体"/>
                                  <w:sz w:val="24"/>
                                  <w:szCs w:val="21"/>
                                </w:rPr>
                              </w:pPr>
                              <w:r>
                                <w:rPr>
                                  <w:rFonts w:hint="eastAsia" w:eastAsia="宋体"/>
                                  <w:sz w:val="24"/>
                                  <w:szCs w:val="21"/>
                                </w:rPr>
                                <w:t>（反面）</w:t>
                              </w:r>
                            </w:p>
                          </w:txbxContent>
                        </wps:txbx>
                        <wps:bodyPr rot="0" vert="horz" wrap="square" lIns="91440" tIns="45720" rIns="91440" bIns="45720" anchor="t" anchorCtr="0" upright="1">
                          <a:noAutofit/>
                        </wps:bodyPr>
                      </wps:wsp>
                    </wpg:wgp>
                  </a:graphicData>
                </a:graphic>
              </wp:anchor>
            </w:drawing>
          </mc:Choice>
          <mc:Fallback>
            <w:pict>
              <v:group id="组合 9" o:spid="_x0000_s1026" o:spt="203" style="position:absolute;left:0pt;margin-left:3pt;margin-top:11.35pt;height:137.95pt;width:432pt;z-index:251660288;mso-width-relative:page;mso-height-relative:page;" coordorigin="1350,9286" coordsize="8640,2759" o:gfxdata="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EfO5T9gAAAAIAQAADwAAAAAAAAABACAAAAAiAAAAZHJzL2Rvd25yZXYueG1sUEsBAhQA&#10;FAAAAAgAh07iQAGzyEPWAgAASwgAAA4AAAAAAAAAAQAgAAAAJwEAAGRycy9lMm9Eb2MueG1sUEsF&#10;BgAAAAAGAAYAWQEAAG8GAAAAAA==&#10;">
                <o:lock v:ext="edit" aspectratio="f"/>
                <v:rect id="矩形 10"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1A487600">
                        <w:pPr>
                          <w:ind w:left="-53" w:leftChars="-71" w:hanging="160" w:hangingChars="67"/>
                          <w:jc w:val="center"/>
                          <w:rPr>
                            <w:rFonts w:eastAsia="宋体"/>
                            <w:sz w:val="24"/>
                            <w:szCs w:val="21"/>
                          </w:rPr>
                        </w:pPr>
                      </w:p>
                      <w:p w14:paraId="5963ED6E">
                        <w:pPr>
                          <w:ind w:left="-53" w:leftChars="-71" w:hanging="160" w:hangingChars="67"/>
                          <w:jc w:val="center"/>
                          <w:rPr>
                            <w:rFonts w:eastAsia="宋体"/>
                            <w:sz w:val="24"/>
                            <w:szCs w:val="21"/>
                          </w:rPr>
                        </w:pPr>
                      </w:p>
                      <w:p w14:paraId="68974CBB">
                        <w:pPr>
                          <w:ind w:left="-53" w:leftChars="-71" w:hanging="160" w:hangingChars="67"/>
                          <w:jc w:val="center"/>
                          <w:rPr>
                            <w:rFonts w:eastAsia="宋体"/>
                            <w:sz w:val="24"/>
                            <w:szCs w:val="21"/>
                          </w:rPr>
                        </w:pPr>
                        <w:r>
                          <w:rPr>
                            <w:rFonts w:hint="eastAsia" w:eastAsia="宋体"/>
                            <w:sz w:val="24"/>
                            <w:szCs w:val="21"/>
                          </w:rPr>
                          <w:t>被授权人（授权代表）</w:t>
                        </w:r>
                      </w:p>
                      <w:p w14:paraId="40EFDE8C">
                        <w:pPr>
                          <w:jc w:val="center"/>
                          <w:rPr>
                            <w:rFonts w:eastAsia="宋体"/>
                            <w:sz w:val="24"/>
                            <w:szCs w:val="21"/>
                          </w:rPr>
                        </w:pPr>
                        <w:r>
                          <w:rPr>
                            <w:rFonts w:hint="eastAsia" w:eastAsia="宋体"/>
                            <w:sz w:val="24"/>
                            <w:szCs w:val="21"/>
                          </w:rPr>
                          <w:t>身份证复印件粘贴处</w:t>
                        </w:r>
                      </w:p>
                      <w:p w14:paraId="0C0AA92F">
                        <w:pPr>
                          <w:jc w:val="center"/>
                          <w:rPr>
                            <w:rFonts w:eastAsia="宋体"/>
                            <w:sz w:val="24"/>
                            <w:szCs w:val="21"/>
                          </w:rPr>
                        </w:pPr>
                        <w:r>
                          <w:rPr>
                            <w:rFonts w:hint="eastAsia" w:eastAsia="宋体"/>
                            <w:sz w:val="24"/>
                            <w:szCs w:val="21"/>
                          </w:rPr>
                          <w:t>（正面）</w:t>
                        </w:r>
                      </w:p>
                      <w:p w14:paraId="4553503C"/>
                      <w:p w14:paraId="4B535379"/>
                    </w:txbxContent>
                  </v:textbox>
                </v:rect>
                <v:rect id="矩形 11" o:spid="_x0000_s1026" o:spt="1" style="position:absolute;left:5754;top:9286;height:2759;width:423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7F9C3F48">
                        <w:pPr>
                          <w:ind w:left="-53" w:leftChars="-71" w:hanging="160" w:hangingChars="67"/>
                          <w:jc w:val="center"/>
                          <w:rPr>
                            <w:rFonts w:eastAsia="宋体"/>
                            <w:sz w:val="24"/>
                            <w:szCs w:val="21"/>
                          </w:rPr>
                        </w:pPr>
                      </w:p>
                      <w:p w14:paraId="3ED32238">
                        <w:pPr>
                          <w:ind w:left="-53" w:leftChars="-71" w:hanging="160" w:hangingChars="67"/>
                          <w:jc w:val="center"/>
                          <w:rPr>
                            <w:rFonts w:eastAsia="宋体"/>
                            <w:sz w:val="24"/>
                            <w:szCs w:val="21"/>
                          </w:rPr>
                        </w:pPr>
                      </w:p>
                      <w:p w14:paraId="07349E55">
                        <w:pPr>
                          <w:ind w:left="-53" w:leftChars="-71" w:hanging="160" w:hangingChars="67"/>
                          <w:jc w:val="center"/>
                          <w:rPr>
                            <w:rFonts w:eastAsia="宋体"/>
                            <w:sz w:val="24"/>
                            <w:szCs w:val="21"/>
                          </w:rPr>
                        </w:pPr>
                        <w:r>
                          <w:rPr>
                            <w:rFonts w:hint="eastAsia" w:eastAsia="宋体"/>
                            <w:sz w:val="24"/>
                            <w:szCs w:val="21"/>
                          </w:rPr>
                          <w:t>被授权人（授权代表）</w:t>
                        </w:r>
                      </w:p>
                      <w:p w14:paraId="2620D2DA">
                        <w:pPr>
                          <w:jc w:val="center"/>
                          <w:rPr>
                            <w:rFonts w:eastAsia="宋体"/>
                            <w:sz w:val="24"/>
                            <w:szCs w:val="21"/>
                          </w:rPr>
                        </w:pPr>
                        <w:r>
                          <w:rPr>
                            <w:rFonts w:hint="eastAsia" w:eastAsia="宋体"/>
                            <w:sz w:val="24"/>
                            <w:szCs w:val="21"/>
                          </w:rPr>
                          <w:t>身份证复印件粘贴处</w:t>
                        </w:r>
                      </w:p>
                      <w:p w14:paraId="697C918C">
                        <w:pPr>
                          <w:jc w:val="center"/>
                          <w:rPr>
                            <w:rFonts w:eastAsia="宋体"/>
                            <w:sz w:val="24"/>
                            <w:szCs w:val="21"/>
                          </w:rPr>
                        </w:pPr>
                        <w:r>
                          <w:rPr>
                            <w:rFonts w:hint="eastAsia" w:eastAsia="宋体"/>
                            <w:sz w:val="24"/>
                            <w:szCs w:val="21"/>
                          </w:rPr>
                          <w:t>（反面）</w:t>
                        </w:r>
                      </w:p>
                    </w:txbxContent>
                  </v:textbox>
                </v:rect>
              </v:group>
            </w:pict>
          </mc:Fallback>
        </mc:AlternateContent>
      </w:r>
    </w:p>
    <w:p w14:paraId="161FF245">
      <w:pPr>
        <w:tabs>
          <w:tab w:val="left" w:pos="3780"/>
        </w:tabs>
        <w:spacing w:line="360" w:lineRule="auto"/>
        <w:rPr>
          <w:rFonts w:ascii="宋体" w:hAnsi="宋体" w:eastAsia="宋体"/>
          <w:sz w:val="21"/>
          <w:szCs w:val="24"/>
        </w:rPr>
      </w:pPr>
    </w:p>
    <w:p w14:paraId="39FF3652">
      <w:pPr>
        <w:tabs>
          <w:tab w:val="left" w:pos="3780"/>
        </w:tabs>
        <w:spacing w:line="360" w:lineRule="auto"/>
        <w:rPr>
          <w:rFonts w:ascii="宋体" w:hAnsi="宋体" w:eastAsia="宋体"/>
          <w:sz w:val="21"/>
          <w:szCs w:val="24"/>
        </w:rPr>
      </w:pPr>
    </w:p>
    <w:p w14:paraId="494EDB55">
      <w:pPr>
        <w:tabs>
          <w:tab w:val="left" w:pos="3780"/>
        </w:tabs>
        <w:spacing w:line="360" w:lineRule="auto"/>
        <w:rPr>
          <w:rFonts w:ascii="宋体" w:hAnsi="宋体" w:eastAsia="宋体"/>
          <w:sz w:val="21"/>
          <w:szCs w:val="24"/>
        </w:rPr>
      </w:pPr>
    </w:p>
    <w:p w14:paraId="077A1289">
      <w:pPr>
        <w:tabs>
          <w:tab w:val="left" w:pos="3780"/>
        </w:tabs>
        <w:spacing w:line="360" w:lineRule="auto"/>
        <w:rPr>
          <w:rFonts w:ascii="宋体" w:hAnsi="宋体" w:eastAsia="宋体"/>
          <w:sz w:val="21"/>
          <w:szCs w:val="24"/>
        </w:rPr>
      </w:pPr>
    </w:p>
    <w:p w14:paraId="4B40607D">
      <w:pPr>
        <w:tabs>
          <w:tab w:val="left" w:pos="3780"/>
        </w:tabs>
        <w:spacing w:line="360" w:lineRule="auto"/>
        <w:rPr>
          <w:rFonts w:ascii="宋体" w:hAnsi="宋体" w:eastAsia="宋体"/>
          <w:sz w:val="21"/>
          <w:szCs w:val="24"/>
        </w:rPr>
      </w:pPr>
    </w:p>
    <w:p w14:paraId="47FE257C">
      <w:pPr>
        <w:tabs>
          <w:tab w:val="left" w:pos="3780"/>
        </w:tabs>
        <w:spacing w:line="360" w:lineRule="auto"/>
        <w:rPr>
          <w:rFonts w:ascii="宋体" w:hAnsi="宋体" w:eastAsia="宋体"/>
          <w:sz w:val="21"/>
          <w:szCs w:val="24"/>
        </w:rPr>
      </w:pPr>
    </w:p>
    <w:p w14:paraId="0F69AA46">
      <w:pPr>
        <w:tabs>
          <w:tab w:val="left" w:pos="3780"/>
        </w:tabs>
        <w:spacing w:line="360" w:lineRule="auto"/>
        <w:rPr>
          <w:rFonts w:ascii="宋体" w:hAnsi="宋体" w:eastAsia="宋体"/>
          <w:sz w:val="21"/>
          <w:szCs w:val="24"/>
        </w:rPr>
      </w:pPr>
    </w:p>
    <w:p w14:paraId="45D5F892">
      <w:pPr>
        <w:tabs>
          <w:tab w:val="left" w:pos="3780"/>
        </w:tabs>
        <w:spacing w:line="360" w:lineRule="auto"/>
        <w:rPr>
          <w:rFonts w:ascii="宋体" w:hAnsi="宋体" w:eastAsia="宋体"/>
          <w:sz w:val="21"/>
          <w:szCs w:val="24"/>
        </w:rPr>
      </w:pPr>
    </w:p>
    <w:p w14:paraId="11C42328">
      <w:pPr>
        <w:tabs>
          <w:tab w:val="left" w:pos="3780"/>
        </w:tabs>
        <w:spacing w:line="360" w:lineRule="auto"/>
        <w:rPr>
          <w:rFonts w:ascii="宋体" w:hAnsi="宋体" w:eastAsia="宋体"/>
          <w:sz w:val="21"/>
          <w:szCs w:val="24"/>
        </w:rPr>
      </w:pPr>
    </w:p>
    <w:p w14:paraId="1F37DA71">
      <w:pPr>
        <w:tabs>
          <w:tab w:val="left" w:pos="3780"/>
        </w:tabs>
        <w:spacing w:line="360" w:lineRule="auto"/>
        <w:rPr>
          <w:rFonts w:ascii="宋体" w:hAnsi="宋体" w:eastAsia="宋体"/>
          <w:sz w:val="21"/>
          <w:szCs w:val="24"/>
        </w:rPr>
      </w:pPr>
    </w:p>
    <w:p w14:paraId="5F388187">
      <w:pPr>
        <w:tabs>
          <w:tab w:val="left" w:pos="3780"/>
        </w:tabs>
        <w:spacing w:line="360" w:lineRule="auto"/>
        <w:rPr>
          <w:rFonts w:ascii="宋体" w:hAnsi="宋体" w:eastAsia="宋体"/>
          <w:sz w:val="21"/>
          <w:szCs w:val="24"/>
        </w:rPr>
      </w:pPr>
    </w:p>
    <w:p w14:paraId="3728B695">
      <w:pPr>
        <w:pStyle w:val="4"/>
        <w:snapToGrid w:val="0"/>
        <w:spacing w:before="120" w:beforeLines="50" w:after="120" w:afterLines="50" w:line="360" w:lineRule="auto"/>
        <w:jc w:val="center"/>
        <w:outlineLvl w:val="9"/>
        <w:rPr>
          <w:rFonts w:eastAsia="宋体"/>
          <w:bCs/>
          <w:sz w:val="24"/>
          <w:szCs w:val="21"/>
        </w:rPr>
      </w:pPr>
      <w:r>
        <w:rPr>
          <w:rFonts w:ascii="Times New Roman" w:hAnsi="Times New Roman" w:eastAsia="宋体"/>
          <w:bCs/>
          <w:sz w:val="24"/>
          <w:szCs w:val="21"/>
        </w:rPr>
        <w:br w:type="page"/>
      </w:r>
    </w:p>
    <w:p w14:paraId="3C542A2B">
      <w:pPr>
        <w:pStyle w:val="4"/>
        <w:snapToGrid w:val="0"/>
        <w:spacing w:before="120" w:beforeLines="50" w:after="120" w:afterLines="50" w:line="360" w:lineRule="auto"/>
        <w:jc w:val="center"/>
        <w:rPr>
          <w:rFonts w:ascii="Times New Roman" w:hAnsi="Times New Roman" w:eastAsia="宋体"/>
          <w:bCs/>
          <w:sz w:val="24"/>
          <w:szCs w:val="21"/>
        </w:rPr>
      </w:pPr>
      <w:bookmarkStart w:id="253" w:name="_Toc169861834"/>
      <w:r>
        <w:rPr>
          <w:rFonts w:hint="eastAsia" w:ascii="Times New Roman" w:hAnsi="Times New Roman" w:eastAsia="宋体"/>
          <w:bCs/>
          <w:sz w:val="24"/>
          <w:szCs w:val="21"/>
          <w:lang w:val="en-US" w:eastAsia="zh-CN"/>
        </w:rPr>
        <w:t>八</w:t>
      </w:r>
      <w:r>
        <w:rPr>
          <w:rFonts w:hint="eastAsia" w:ascii="Times New Roman" w:hAnsi="Times New Roman" w:eastAsia="宋体"/>
          <w:bCs/>
          <w:sz w:val="24"/>
          <w:szCs w:val="21"/>
        </w:rPr>
        <w:t>、关于资格的声明函</w:t>
      </w:r>
      <w:bookmarkEnd w:id="253"/>
    </w:p>
    <w:p w14:paraId="5148E12C">
      <w:pPr>
        <w:spacing w:line="360" w:lineRule="auto"/>
        <w:ind w:firstLine="480" w:firstLineChars="200"/>
        <w:rPr>
          <w:rFonts w:hint="eastAsia" w:ascii="宋体" w:hAnsi="宋体" w:eastAsia="宋体" w:cs="Calibri"/>
          <w:sz w:val="24"/>
          <w:lang w:eastAsia="zh-CN"/>
        </w:rPr>
      </w:pPr>
      <w:r>
        <w:rPr>
          <w:rFonts w:ascii="宋体" w:hAnsi="宋体" w:eastAsia="宋体" w:cs="Calibri"/>
          <w:sz w:val="24"/>
        </w:rPr>
        <w:t>致：</w:t>
      </w:r>
      <w:r>
        <w:rPr>
          <w:rFonts w:hint="eastAsia" w:ascii="宋体" w:hAnsi="宋体" w:eastAsia="宋体" w:cs="Calibri"/>
          <w:sz w:val="24"/>
          <w:u w:val="single"/>
          <w:lang w:val="en-US" w:eastAsia="zh-CN"/>
        </w:rPr>
        <w:t>开平市中心医院</w:t>
      </w:r>
    </w:p>
    <w:p w14:paraId="3BCABB95">
      <w:pPr>
        <w:pStyle w:val="23"/>
        <w:spacing w:line="480" w:lineRule="exact"/>
        <w:ind w:firstLine="480" w:firstLineChars="200"/>
        <w:rPr>
          <w:rFonts w:hAnsi="宋体"/>
          <w:sz w:val="24"/>
        </w:rPr>
      </w:pPr>
      <w:r>
        <w:rPr>
          <w:rFonts w:hint="eastAsia" w:hAnsi="宋体"/>
          <w:sz w:val="24"/>
        </w:rPr>
        <w:t>关于贵</w:t>
      </w:r>
      <w:r>
        <w:rPr>
          <w:rFonts w:hint="eastAsia" w:hAnsi="宋体"/>
          <w:sz w:val="24"/>
          <w:lang w:val="en-US" w:eastAsia="zh-CN"/>
        </w:rPr>
        <w:t>单位</w:t>
      </w:r>
      <w:r>
        <w:rPr>
          <w:rFonts w:hint="eastAsia" w:hAnsi="宋体"/>
          <w:sz w:val="24"/>
        </w:rPr>
        <w:t>的</w:t>
      </w:r>
      <w:r>
        <w:rPr>
          <w:rFonts w:hint="eastAsia" w:hAnsi="宋体"/>
          <w:sz w:val="24"/>
          <w:u w:val="single"/>
        </w:rPr>
        <w:t>（</w:t>
      </w:r>
      <w:r>
        <w:rPr>
          <w:rFonts w:hint="eastAsia" w:hAnsi="宋体"/>
          <w:sz w:val="24"/>
          <w:u w:val="single"/>
          <w:lang w:eastAsia="zh-CN"/>
        </w:rPr>
        <w:t>开平市中心医院病案密集架采购项目</w:t>
      </w:r>
      <w:r>
        <w:rPr>
          <w:rFonts w:hint="eastAsia" w:hAnsi="宋体"/>
          <w:sz w:val="24"/>
          <w:u w:val="single"/>
        </w:rPr>
        <w:t>）</w:t>
      </w:r>
      <w:r>
        <w:rPr>
          <w:rFonts w:hint="eastAsia" w:hAnsi="宋体"/>
          <w:sz w:val="24"/>
        </w:rPr>
        <w:t>的</w:t>
      </w:r>
      <w:r>
        <w:rPr>
          <w:rFonts w:hint="eastAsia" w:hAnsi="宋体"/>
          <w:sz w:val="24"/>
          <w:lang w:eastAsia="zh-CN"/>
        </w:rPr>
        <w:t>遴选</w:t>
      </w:r>
      <w:r>
        <w:rPr>
          <w:rFonts w:hint="eastAsia" w:hAnsi="宋体"/>
          <w:sz w:val="24"/>
        </w:rPr>
        <w:t>邀请，我单位自愿参加本次</w:t>
      </w:r>
      <w:r>
        <w:rPr>
          <w:rFonts w:hint="eastAsia" w:hAnsi="宋体"/>
          <w:sz w:val="24"/>
          <w:lang w:eastAsia="zh-CN"/>
        </w:rPr>
        <w:t>遴选</w:t>
      </w:r>
      <w:r>
        <w:rPr>
          <w:rFonts w:hint="eastAsia" w:hAnsi="宋体"/>
          <w:sz w:val="24"/>
        </w:rPr>
        <w:t>，并声明：</w:t>
      </w:r>
    </w:p>
    <w:p w14:paraId="4013046C">
      <w:pPr>
        <w:pStyle w:val="23"/>
        <w:spacing w:line="480" w:lineRule="exact"/>
        <w:ind w:firstLine="480" w:firstLineChars="200"/>
        <w:rPr>
          <w:rFonts w:hAnsi="宋体"/>
          <w:sz w:val="24"/>
        </w:rPr>
      </w:pPr>
      <w:r>
        <w:rPr>
          <w:rFonts w:hint="eastAsia" w:hAnsi="宋体"/>
          <w:sz w:val="24"/>
        </w:rPr>
        <w:t>本单位具备《中华人民共和国政府采购法》第二十二条资格条件，已清楚</w:t>
      </w:r>
      <w:r>
        <w:rPr>
          <w:rFonts w:hint="eastAsia" w:hAnsi="宋体"/>
          <w:sz w:val="24"/>
          <w:lang w:val="en-US" w:eastAsia="zh-CN"/>
        </w:rPr>
        <w:t>遴选</w:t>
      </w:r>
      <w:r>
        <w:rPr>
          <w:rFonts w:hint="eastAsia" w:hAnsi="宋体"/>
          <w:sz w:val="24"/>
        </w:rPr>
        <w:t>文件的要求及有关文件规定，并满足以下要求：</w:t>
      </w:r>
    </w:p>
    <w:p w14:paraId="3340497A">
      <w:pPr>
        <w:pStyle w:val="23"/>
        <w:spacing w:line="480" w:lineRule="exact"/>
        <w:ind w:firstLine="480" w:firstLineChars="200"/>
        <w:rPr>
          <w:rFonts w:hAnsi="宋体"/>
          <w:sz w:val="24"/>
        </w:rPr>
      </w:pPr>
      <w:r>
        <w:rPr>
          <w:rFonts w:hint="eastAsia" w:hAnsi="宋体"/>
          <w:sz w:val="24"/>
        </w:rPr>
        <w:t>（</w:t>
      </w:r>
      <w:r>
        <w:rPr>
          <w:rFonts w:hAnsi="宋体"/>
          <w:sz w:val="24"/>
        </w:rPr>
        <w:t>1</w:t>
      </w:r>
      <w:r>
        <w:rPr>
          <w:rFonts w:hint="eastAsia" w:hAnsi="宋体"/>
          <w:sz w:val="24"/>
        </w:rPr>
        <w:t>）具有独立承担民事责任的能力；</w:t>
      </w:r>
    </w:p>
    <w:p w14:paraId="7B760D50">
      <w:pPr>
        <w:pStyle w:val="23"/>
        <w:spacing w:line="480" w:lineRule="exact"/>
        <w:ind w:firstLine="480" w:firstLineChars="200"/>
        <w:rPr>
          <w:rFonts w:hAnsi="宋体"/>
          <w:sz w:val="24"/>
        </w:rPr>
      </w:pPr>
      <w:r>
        <w:rPr>
          <w:rFonts w:hint="eastAsia" w:hAnsi="宋体"/>
          <w:sz w:val="24"/>
        </w:rPr>
        <w:t>（</w:t>
      </w:r>
      <w:r>
        <w:rPr>
          <w:rFonts w:hAnsi="宋体"/>
          <w:sz w:val="24"/>
        </w:rPr>
        <w:t>2</w:t>
      </w:r>
      <w:r>
        <w:rPr>
          <w:rFonts w:hint="eastAsia" w:hAnsi="宋体"/>
          <w:sz w:val="24"/>
        </w:rPr>
        <w:t>）具有良好的商业信誉和健全的财务会计制度；</w:t>
      </w:r>
    </w:p>
    <w:p w14:paraId="2FE1AE9C">
      <w:pPr>
        <w:pStyle w:val="23"/>
        <w:spacing w:line="480" w:lineRule="exact"/>
        <w:ind w:firstLine="480" w:firstLineChars="200"/>
        <w:rPr>
          <w:rFonts w:hAnsi="宋体"/>
          <w:sz w:val="24"/>
        </w:rPr>
      </w:pPr>
      <w:r>
        <w:rPr>
          <w:rFonts w:hint="eastAsia" w:hAnsi="宋体"/>
          <w:sz w:val="24"/>
        </w:rPr>
        <w:t>（</w:t>
      </w:r>
      <w:r>
        <w:rPr>
          <w:rFonts w:hAnsi="宋体"/>
          <w:sz w:val="24"/>
        </w:rPr>
        <w:t>3</w:t>
      </w:r>
      <w:r>
        <w:rPr>
          <w:rFonts w:hint="eastAsia" w:hAnsi="宋体"/>
          <w:sz w:val="24"/>
        </w:rPr>
        <w:t>）具有履行合同所必需的设备和专业技术能力；</w:t>
      </w:r>
    </w:p>
    <w:p w14:paraId="6C9B45FC">
      <w:pPr>
        <w:pStyle w:val="23"/>
        <w:spacing w:line="480" w:lineRule="exact"/>
        <w:ind w:firstLine="480" w:firstLineChars="200"/>
        <w:rPr>
          <w:rFonts w:hAnsi="宋体"/>
          <w:sz w:val="24"/>
        </w:rPr>
      </w:pPr>
      <w:r>
        <w:rPr>
          <w:rFonts w:hint="eastAsia" w:hAnsi="宋体"/>
          <w:sz w:val="24"/>
        </w:rPr>
        <w:t>（</w:t>
      </w:r>
      <w:r>
        <w:rPr>
          <w:rFonts w:hAnsi="宋体"/>
          <w:sz w:val="24"/>
        </w:rPr>
        <w:t>4</w:t>
      </w:r>
      <w:r>
        <w:rPr>
          <w:rFonts w:hint="eastAsia" w:hAnsi="宋体"/>
          <w:sz w:val="24"/>
        </w:rPr>
        <w:t>）有依法缴纳税收和社会保障资金的良好记录；</w:t>
      </w:r>
    </w:p>
    <w:p w14:paraId="620FEADF">
      <w:pPr>
        <w:pStyle w:val="23"/>
        <w:spacing w:line="480" w:lineRule="exact"/>
        <w:ind w:firstLine="480" w:firstLineChars="200"/>
        <w:rPr>
          <w:rFonts w:hAnsi="宋体"/>
          <w:sz w:val="24"/>
        </w:rPr>
      </w:pPr>
      <w:r>
        <w:rPr>
          <w:rFonts w:hint="eastAsia" w:hAnsi="宋体"/>
          <w:sz w:val="24"/>
        </w:rPr>
        <w:t>（</w:t>
      </w:r>
      <w:r>
        <w:rPr>
          <w:rFonts w:hAnsi="宋体"/>
          <w:sz w:val="24"/>
        </w:rPr>
        <w:t>5</w:t>
      </w:r>
      <w:r>
        <w:rPr>
          <w:rFonts w:hint="eastAsia" w:hAnsi="宋体"/>
          <w:sz w:val="24"/>
        </w:rPr>
        <w:t>）参加政府采购活动前三年内，在经营活动中没有重大违法记录；</w:t>
      </w:r>
    </w:p>
    <w:p w14:paraId="780FE283">
      <w:pPr>
        <w:pStyle w:val="23"/>
        <w:spacing w:line="480" w:lineRule="exact"/>
        <w:ind w:firstLine="480" w:firstLineChars="200"/>
        <w:outlineLvl w:val="2"/>
        <w:rPr>
          <w:rFonts w:hAnsi="宋体"/>
          <w:sz w:val="24"/>
        </w:rPr>
      </w:pPr>
      <w:r>
        <w:rPr>
          <w:rFonts w:hint="eastAsia" w:hAnsi="宋体"/>
          <w:sz w:val="24"/>
        </w:rPr>
        <w:t>（</w:t>
      </w:r>
      <w:r>
        <w:rPr>
          <w:rFonts w:hAnsi="宋体"/>
          <w:sz w:val="24"/>
        </w:rPr>
        <w:t>6</w:t>
      </w:r>
      <w:r>
        <w:rPr>
          <w:rFonts w:hint="eastAsia" w:hAnsi="宋体"/>
          <w:sz w:val="24"/>
        </w:rPr>
        <w:t>）法律、行政法规规定的其他条件。</w:t>
      </w:r>
    </w:p>
    <w:p w14:paraId="288D64C6">
      <w:pPr>
        <w:pStyle w:val="23"/>
        <w:spacing w:line="480" w:lineRule="exact"/>
        <w:ind w:firstLine="480" w:firstLineChars="200"/>
        <w:rPr>
          <w:rFonts w:hAnsi="宋体"/>
          <w:sz w:val="24"/>
        </w:rPr>
      </w:pPr>
      <w:r>
        <w:rPr>
          <w:rFonts w:hint="eastAsia" w:hAnsi="宋体"/>
          <w:sz w:val="24"/>
        </w:rPr>
        <w:t>本单位的法定代表人或单位负责人与所参投的本采购项目包组的其他投标人的法定代表人或单位负责人不为同一人且与其他投标人之间不存在直接控股、管理关系。</w:t>
      </w:r>
    </w:p>
    <w:p w14:paraId="16A18A73">
      <w:pPr>
        <w:pStyle w:val="23"/>
        <w:spacing w:line="480" w:lineRule="exact"/>
        <w:ind w:firstLine="480" w:firstLineChars="200"/>
        <w:rPr>
          <w:rFonts w:hAnsi="宋体"/>
          <w:sz w:val="24"/>
        </w:rPr>
      </w:pPr>
      <w:r>
        <w:rPr>
          <w:rFonts w:hint="eastAsia" w:hAnsi="宋体"/>
          <w:sz w:val="24"/>
        </w:rPr>
        <w:t>根据《中华人民共和国政府采购法实施条例》的规定，本单位清楚：如为本采购项目包组提供整体设计、规范编制或者项目管理、监理、检测等服务的供应商，不得再参加该采购项目包组的其他采购活动。否则，由此所造成的损失、不良后果及法律责任，一律由我单位承担。</w:t>
      </w:r>
    </w:p>
    <w:p w14:paraId="6062ED2E">
      <w:pPr>
        <w:pStyle w:val="23"/>
        <w:spacing w:line="480" w:lineRule="exact"/>
        <w:ind w:firstLine="480" w:firstLineChars="200"/>
        <w:rPr>
          <w:rFonts w:hAnsi="宋体"/>
          <w:sz w:val="24"/>
        </w:rPr>
      </w:pPr>
      <w:r>
        <w:rPr>
          <w:rFonts w:hint="eastAsia" w:hAnsi="宋体"/>
          <w:sz w:val="24"/>
        </w:rPr>
        <w:t>本单位具有履行合同所必需的设备和专业技术能力，且参加政府采购活动前</w:t>
      </w:r>
      <w:r>
        <w:rPr>
          <w:rFonts w:hAnsi="宋体"/>
          <w:sz w:val="24"/>
        </w:rPr>
        <w:t xml:space="preserve">3 </w:t>
      </w:r>
      <w:r>
        <w:rPr>
          <w:rFonts w:hint="eastAsia" w:hAnsi="宋体"/>
          <w:sz w:val="24"/>
        </w:rPr>
        <w:t>年内在经营活动中没有重大违法记录。否则，由此所造成的损失、不良后果及法律责任，一律由我单位承担。</w:t>
      </w:r>
    </w:p>
    <w:p w14:paraId="6A5A17FE">
      <w:pPr>
        <w:pStyle w:val="23"/>
        <w:spacing w:line="480" w:lineRule="exact"/>
        <w:ind w:firstLine="480" w:firstLineChars="200"/>
        <w:rPr>
          <w:rFonts w:hAnsi="宋体"/>
          <w:sz w:val="24"/>
        </w:rPr>
      </w:pPr>
      <w:r>
        <w:rPr>
          <w:rFonts w:hint="eastAsia" w:hAnsi="宋体"/>
          <w:sz w:val="24"/>
        </w:rPr>
        <w:t>本次</w:t>
      </w:r>
      <w:r>
        <w:rPr>
          <w:rFonts w:hint="eastAsia" w:hAnsi="宋体"/>
          <w:sz w:val="24"/>
          <w:lang w:val="en-US" w:eastAsia="zh-CN"/>
        </w:rPr>
        <w:t>遴选</w:t>
      </w:r>
      <w:r>
        <w:rPr>
          <w:rFonts w:hint="eastAsia" w:hAnsi="宋体"/>
          <w:sz w:val="24"/>
        </w:rPr>
        <w:t>采购活动中，如有违法、违规、弄虚作假行为，所造成的损失、不良后果及法律责任，一律由我单位承担。</w:t>
      </w:r>
    </w:p>
    <w:p w14:paraId="1C00D396">
      <w:pPr>
        <w:pStyle w:val="23"/>
        <w:spacing w:line="480" w:lineRule="exact"/>
        <w:ind w:firstLine="480" w:firstLineChars="200"/>
        <w:rPr>
          <w:rFonts w:hAnsi="宋体"/>
          <w:sz w:val="24"/>
        </w:rPr>
      </w:pPr>
      <w:r>
        <w:rPr>
          <w:rFonts w:hint="eastAsia" w:hAnsi="宋体"/>
          <w:sz w:val="24"/>
        </w:rPr>
        <w:t>特此声明！</w:t>
      </w:r>
    </w:p>
    <w:p w14:paraId="1F431CC2">
      <w:pPr>
        <w:spacing w:line="360" w:lineRule="auto"/>
        <w:rPr>
          <w:rFonts w:ascii="宋体" w:hAnsi="宋体" w:eastAsia="宋体"/>
          <w:sz w:val="24"/>
        </w:rPr>
      </w:pPr>
    </w:p>
    <w:p w14:paraId="03F0B232">
      <w:pPr>
        <w:spacing w:line="360" w:lineRule="auto"/>
        <w:ind w:firstLine="480" w:firstLineChars="200"/>
        <w:rPr>
          <w:rFonts w:ascii="宋体" w:hAnsi="宋体" w:eastAsia="宋体"/>
          <w:sz w:val="24"/>
        </w:rPr>
      </w:pPr>
      <w:r>
        <w:rPr>
          <w:rFonts w:hint="eastAsia" w:ascii="宋体" w:hAnsi="宋体" w:eastAsia="宋体"/>
          <w:sz w:val="24"/>
          <w:lang w:val="en-US" w:eastAsia="zh-CN"/>
        </w:rPr>
        <w:t>供应商</w:t>
      </w:r>
      <w:r>
        <w:rPr>
          <w:rFonts w:ascii="宋体" w:hAnsi="宋体" w:eastAsia="宋体"/>
          <w:sz w:val="24"/>
        </w:rPr>
        <w:t>名称：</w:t>
      </w:r>
      <w:r>
        <w:rPr>
          <w:rFonts w:ascii="宋体" w:hAnsi="宋体" w:eastAsia="宋体"/>
          <w:sz w:val="24"/>
          <w:u w:val="single"/>
        </w:rPr>
        <w:t xml:space="preserve">                </w:t>
      </w:r>
      <w:r>
        <w:rPr>
          <w:rFonts w:ascii="宋体" w:hAnsi="宋体" w:eastAsia="宋体"/>
          <w:sz w:val="24"/>
        </w:rPr>
        <w:t xml:space="preserve">（盖公章） </w:t>
      </w:r>
    </w:p>
    <w:p w14:paraId="0495A492">
      <w:pPr>
        <w:spacing w:line="360" w:lineRule="auto"/>
        <w:ind w:firstLine="480" w:firstLineChars="200"/>
        <w:rPr>
          <w:rFonts w:ascii="宋体" w:hAnsi="宋体" w:eastAsia="宋体"/>
          <w:sz w:val="24"/>
        </w:rPr>
      </w:pPr>
      <w:r>
        <w:rPr>
          <w:rFonts w:hint="eastAsia" w:ascii="宋体" w:hAnsi="宋体" w:eastAsia="宋体"/>
          <w:sz w:val="24"/>
          <w:lang w:val="en-US" w:eastAsia="zh-CN"/>
        </w:rPr>
        <w:t>供应商</w:t>
      </w:r>
      <w:r>
        <w:rPr>
          <w:rFonts w:ascii="宋体" w:hAnsi="宋体" w:eastAsia="宋体"/>
          <w:sz w:val="24"/>
        </w:rPr>
        <w:t>法定代表人（或授权代表）签字或盖章：</w:t>
      </w:r>
      <w:r>
        <w:rPr>
          <w:rFonts w:ascii="宋体" w:hAnsi="宋体" w:eastAsia="宋体"/>
          <w:sz w:val="24"/>
          <w:u w:val="single"/>
        </w:rPr>
        <w:t xml:space="preserve">               </w:t>
      </w:r>
    </w:p>
    <w:p w14:paraId="62A2450D">
      <w:pPr>
        <w:spacing w:line="360" w:lineRule="auto"/>
        <w:ind w:firstLine="480" w:firstLineChars="200"/>
        <w:rPr>
          <w:rFonts w:ascii="宋体" w:hAnsi="宋体" w:eastAsia="宋体"/>
          <w:sz w:val="24"/>
        </w:rPr>
      </w:pPr>
      <w:r>
        <w:rPr>
          <w:rFonts w:ascii="宋体" w:hAnsi="宋体" w:eastAsia="宋体"/>
          <w:sz w:val="24"/>
        </w:rPr>
        <w:t>日期：</w:t>
      </w:r>
      <w:r>
        <w:rPr>
          <w:rFonts w:ascii="宋体" w:hAnsi="宋体" w:eastAsia="宋体"/>
          <w:sz w:val="24"/>
          <w:u w:val="single"/>
        </w:rPr>
        <w:t xml:space="preserve">     </w:t>
      </w:r>
      <w:r>
        <w:rPr>
          <w:rFonts w:ascii="宋体" w:hAnsi="宋体" w:eastAsia="宋体"/>
          <w:sz w:val="24"/>
        </w:rPr>
        <w:t>年</w:t>
      </w:r>
      <w:r>
        <w:rPr>
          <w:rFonts w:ascii="宋体" w:hAnsi="宋体" w:eastAsia="宋体"/>
          <w:sz w:val="24"/>
          <w:u w:val="single"/>
        </w:rPr>
        <w:t xml:space="preserve">    </w:t>
      </w:r>
      <w:r>
        <w:rPr>
          <w:rFonts w:ascii="宋体" w:hAnsi="宋体" w:eastAsia="宋体"/>
          <w:sz w:val="24"/>
        </w:rPr>
        <w:t>月</w:t>
      </w:r>
      <w:r>
        <w:rPr>
          <w:rFonts w:ascii="宋体" w:hAnsi="宋体" w:eastAsia="宋体"/>
          <w:sz w:val="24"/>
          <w:u w:val="single"/>
        </w:rPr>
        <w:t xml:space="preserve">    </w:t>
      </w:r>
      <w:r>
        <w:rPr>
          <w:rFonts w:ascii="宋体" w:hAnsi="宋体" w:eastAsia="宋体"/>
          <w:sz w:val="24"/>
        </w:rPr>
        <w:t>日</w:t>
      </w:r>
    </w:p>
    <w:p w14:paraId="6F48A11C">
      <w:pPr>
        <w:pStyle w:val="4"/>
        <w:snapToGrid w:val="0"/>
        <w:spacing w:before="120" w:beforeLines="50" w:after="120" w:afterLines="50" w:line="360" w:lineRule="auto"/>
        <w:jc w:val="center"/>
        <w:rPr>
          <w:rFonts w:ascii="Times New Roman" w:hAnsi="Times New Roman" w:eastAsia="宋体"/>
          <w:bCs/>
          <w:sz w:val="24"/>
          <w:szCs w:val="21"/>
        </w:rPr>
      </w:pPr>
      <w:bookmarkStart w:id="254" w:name="_Toc169861835"/>
      <w:r>
        <w:rPr>
          <w:rFonts w:hint="eastAsia" w:ascii="Times New Roman" w:hAnsi="Times New Roman" w:eastAsia="宋体"/>
          <w:bCs/>
          <w:sz w:val="24"/>
          <w:szCs w:val="21"/>
          <w:lang w:val="en-US" w:eastAsia="zh-CN"/>
        </w:rPr>
        <w:t>九</w:t>
      </w:r>
      <w:r>
        <w:rPr>
          <w:rFonts w:ascii="Times New Roman" w:hAnsi="Times New Roman" w:eastAsia="宋体"/>
          <w:bCs/>
          <w:sz w:val="24"/>
          <w:szCs w:val="21"/>
        </w:rPr>
        <w:t>、</w:t>
      </w:r>
      <w:bookmarkEnd w:id="241"/>
      <w:bookmarkEnd w:id="242"/>
      <w:bookmarkEnd w:id="243"/>
      <w:bookmarkEnd w:id="244"/>
      <w:bookmarkEnd w:id="245"/>
      <w:bookmarkEnd w:id="246"/>
      <w:bookmarkEnd w:id="247"/>
      <w:bookmarkEnd w:id="248"/>
      <w:bookmarkEnd w:id="249"/>
      <w:bookmarkEnd w:id="250"/>
      <w:bookmarkEnd w:id="251"/>
      <w:bookmarkEnd w:id="252"/>
      <w:r>
        <w:rPr>
          <w:rFonts w:ascii="Times New Roman" w:hAnsi="Times New Roman" w:eastAsia="宋体"/>
          <w:bCs/>
          <w:sz w:val="24"/>
          <w:szCs w:val="21"/>
        </w:rPr>
        <w:t>响应资格证明书</w:t>
      </w:r>
      <w:bookmarkEnd w:id="254"/>
    </w:p>
    <w:p w14:paraId="32FAE947">
      <w:pPr>
        <w:pStyle w:val="5"/>
        <w:spacing w:line="360" w:lineRule="auto"/>
        <w:ind w:firstLine="0"/>
        <w:rPr>
          <w:rFonts w:ascii="Times New Roman"/>
          <w:sz w:val="24"/>
          <w:szCs w:val="21"/>
        </w:rPr>
      </w:pPr>
    </w:p>
    <w:p w14:paraId="091D9284">
      <w:pPr>
        <w:spacing w:line="360" w:lineRule="auto"/>
        <w:outlineLvl w:val="2"/>
        <w:rPr>
          <w:rFonts w:eastAsia="宋体"/>
          <w:sz w:val="24"/>
          <w:szCs w:val="21"/>
        </w:rPr>
      </w:pPr>
      <w:r>
        <w:rPr>
          <w:rFonts w:hint="eastAsia" w:eastAsia="宋体"/>
          <w:sz w:val="24"/>
          <w:szCs w:val="21"/>
        </w:rPr>
        <w:t>1.营业执照（副本）。</w:t>
      </w:r>
    </w:p>
    <w:p w14:paraId="74577AF3">
      <w:pPr>
        <w:spacing w:line="360" w:lineRule="auto"/>
        <w:rPr>
          <w:rFonts w:hint="eastAsia" w:eastAsia="宋体"/>
          <w:sz w:val="24"/>
          <w:szCs w:val="21"/>
          <w:lang w:eastAsia="zh-CN"/>
        </w:rPr>
      </w:pPr>
      <w:r>
        <w:rPr>
          <w:rFonts w:hint="eastAsia" w:eastAsia="宋体"/>
          <w:sz w:val="24"/>
          <w:szCs w:val="21"/>
          <w:lang w:val="en-US" w:eastAsia="zh-CN"/>
        </w:rPr>
        <w:t>2.</w:t>
      </w:r>
      <w:r>
        <w:rPr>
          <w:rFonts w:hint="eastAsia" w:eastAsia="宋体"/>
          <w:sz w:val="24"/>
          <w:szCs w:val="21"/>
        </w:rPr>
        <w:t>报名有效期内报名企业“信用中国网站【信用服务】菜单中失信被执行人、重大税收违法案件当事人、政府采购不良行为记录、“中国政府采购网”政府采购严重违法失信行为记录名单查询结果、“国家企业信用信息公示系统”完整的信用报告</w:t>
      </w:r>
      <w:r>
        <w:rPr>
          <w:rFonts w:hint="eastAsia" w:eastAsia="宋体"/>
          <w:sz w:val="24"/>
          <w:szCs w:val="21"/>
          <w:lang w:eastAsia="zh-CN"/>
        </w:rPr>
        <w:t>。</w:t>
      </w:r>
    </w:p>
    <w:p w14:paraId="11F4A9C2">
      <w:pPr>
        <w:spacing w:line="360" w:lineRule="auto"/>
        <w:rPr>
          <w:rFonts w:hint="eastAsia" w:eastAsia="宋体"/>
          <w:sz w:val="24"/>
          <w:szCs w:val="21"/>
        </w:rPr>
      </w:pPr>
      <w:r>
        <w:rPr>
          <w:rFonts w:hint="eastAsia" w:eastAsia="宋体"/>
          <w:sz w:val="24"/>
          <w:szCs w:val="21"/>
        </w:rPr>
        <w:t>（查询结果需显示查询时间，查询后右击鼠标选择“打印”）</w:t>
      </w:r>
    </w:p>
    <w:p w14:paraId="2B0A4ABE">
      <w:pPr>
        <w:spacing w:line="360" w:lineRule="auto"/>
        <w:rPr>
          <w:rFonts w:hint="default" w:eastAsia="宋体"/>
          <w:sz w:val="24"/>
          <w:szCs w:val="21"/>
          <w:lang w:val="en-US" w:eastAsia="zh-CN"/>
        </w:rPr>
      </w:pPr>
      <w:r>
        <w:rPr>
          <w:rFonts w:hint="eastAsia" w:eastAsia="宋体"/>
          <w:sz w:val="24"/>
          <w:szCs w:val="21"/>
          <w:lang w:val="en-US" w:eastAsia="zh-CN"/>
        </w:rPr>
        <w:t>3.企业近半年任意三个月缴纳税收证明和企业近半年任意三个月社会保障资金证明。</w:t>
      </w:r>
    </w:p>
    <w:p w14:paraId="41B99C7E">
      <w:pPr>
        <w:spacing w:line="360" w:lineRule="auto"/>
        <w:rPr>
          <w:rFonts w:eastAsia="宋体"/>
          <w:sz w:val="24"/>
          <w:szCs w:val="21"/>
        </w:rPr>
      </w:pPr>
      <w:r>
        <w:rPr>
          <w:rFonts w:hint="eastAsia" w:eastAsia="宋体"/>
          <w:sz w:val="24"/>
          <w:szCs w:val="21"/>
          <w:lang w:val="en-US" w:eastAsia="zh-CN"/>
        </w:rPr>
        <w:t>4</w:t>
      </w:r>
      <w:r>
        <w:rPr>
          <w:rFonts w:hint="eastAsia" w:eastAsia="宋体"/>
          <w:sz w:val="24"/>
          <w:szCs w:val="21"/>
        </w:rPr>
        <w:t>.供应商认为需要的其它资料。</w:t>
      </w:r>
    </w:p>
    <w:p w14:paraId="113789B0">
      <w:pPr>
        <w:spacing w:line="360" w:lineRule="auto"/>
        <w:rPr>
          <w:rFonts w:eastAsia="宋体"/>
          <w:sz w:val="24"/>
          <w:szCs w:val="21"/>
        </w:rPr>
      </w:pPr>
    </w:p>
    <w:p w14:paraId="12EE1ADE">
      <w:pPr>
        <w:spacing w:line="360" w:lineRule="auto"/>
        <w:rPr>
          <w:rFonts w:eastAsia="宋体"/>
          <w:b/>
          <w:bCs/>
          <w:sz w:val="24"/>
          <w:szCs w:val="21"/>
        </w:rPr>
      </w:pPr>
    </w:p>
    <w:p w14:paraId="4821459C">
      <w:pPr>
        <w:spacing w:line="360" w:lineRule="auto"/>
        <w:rPr>
          <w:rFonts w:eastAsia="宋体"/>
          <w:b/>
          <w:bCs/>
          <w:sz w:val="24"/>
          <w:szCs w:val="21"/>
        </w:rPr>
      </w:pPr>
      <w:r>
        <w:rPr>
          <w:rFonts w:eastAsia="宋体"/>
          <w:b/>
          <w:bCs/>
          <w:sz w:val="24"/>
          <w:szCs w:val="21"/>
        </w:rPr>
        <w:t>要求：供应商应当在响应文件中提供以上证书或文件的复印件（复印件加盖公章）。</w:t>
      </w:r>
    </w:p>
    <w:p w14:paraId="61D5EC1A">
      <w:pPr>
        <w:widowControl/>
        <w:spacing w:line="360" w:lineRule="auto"/>
        <w:ind w:firstLine="480" w:firstLineChars="200"/>
        <w:jc w:val="left"/>
        <w:rPr>
          <w:rFonts w:eastAsia="宋体"/>
          <w:bCs/>
          <w:sz w:val="24"/>
          <w:szCs w:val="21"/>
        </w:rPr>
      </w:pPr>
    </w:p>
    <w:p w14:paraId="36A8F994">
      <w:pPr>
        <w:widowControl/>
        <w:spacing w:line="360" w:lineRule="auto"/>
        <w:ind w:firstLine="480" w:firstLineChars="200"/>
        <w:jc w:val="left"/>
        <w:rPr>
          <w:rFonts w:eastAsia="宋体"/>
          <w:bCs/>
          <w:sz w:val="24"/>
          <w:szCs w:val="21"/>
        </w:rPr>
      </w:pPr>
    </w:p>
    <w:p w14:paraId="204FD0B9">
      <w:pPr>
        <w:widowControl/>
        <w:spacing w:line="360" w:lineRule="auto"/>
        <w:ind w:firstLine="480" w:firstLineChars="200"/>
        <w:jc w:val="left"/>
        <w:rPr>
          <w:rFonts w:eastAsia="宋体"/>
          <w:bCs/>
          <w:sz w:val="24"/>
          <w:szCs w:val="21"/>
        </w:rPr>
      </w:pPr>
    </w:p>
    <w:p w14:paraId="6BD26042">
      <w:pPr>
        <w:widowControl/>
        <w:spacing w:line="360" w:lineRule="auto"/>
        <w:ind w:firstLine="480" w:firstLineChars="200"/>
        <w:jc w:val="left"/>
        <w:rPr>
          <w:rFonts w:eastAsia="宋体"/>
          <w:bCs/>
          <w:sz w:val="24"/>
          <w:szCs w:val="21"/>
        </w:rPr>
      </w:pPr>
    </w:p>
    <w:p w14:paraId="0C659A26">
      <w:pPr>
        <w:widowControl/>
        <w:spacing w:line="360" w:lineRule="auto"/>
        <w:ind w:firstLine="480" w:firstLineChars="200"/>
        <w:jc w:val="left"/>
        <w:rPr>
          <w:rFonts w:eastAsia="宋体"/>
          <w:bCs/>
          <w:sz w:val="24"/>
          <w:szCs w:val="21"/>
        </w:rPr>
      </w:pPr>
      <w:r>
        <w:rPr>
          <w:rFonts w:hint="eastAsia" w:eastAsia="宋体"/>
          <w:bCs/>
          <w:sz w:val="24"/>
          <w:szCs w:val="21"/>
        </w:rPr>
        <w:t>供应商名称：</w:t>
      </w:r>
      <w:r>
        <w:rPr>
          <w:rFonts w:hint="eastAsia" w:eastAsia="宋体"/>
          <w:bCs/>
          <w:sz w:val="24"/>
          <w:szCs w:val="21"/>
          <w:u w:val="single"/>
        </w:rPr>
        <w:t xml:space="preserve">                </w:t>
      </w:r>
      <w:r>
        <w:rPr>
          <w:rFonts w:hint="eastAsia" w:eastAsia="宋体"/>
          <w:bCs/>
          <w:sz w:val="24"/>
          <w:szCs w:val="21"/>
        </w:rPr>
        <w:t xml:space="preserve">（盖公章） </w:t>
      </w:r>
    </w:p>
    <w:p w14:paraId="05B6F806">
      <w:pPr>
        <w:widowControl/>
        <w:spacing w:line="360" w:lineRule="auto"/>
        <w:ind w:firstLine="480" w:firstLineChars="200"/>
        <w:jc w:val="left"/>
        <w:rPr>
          <w:rFonts w:eastAsia="宋体"/>
          <w:bCs/>
          <w:sz w:val="24"/>
          <w:szCs w:val="21"/>
        </w:rPr>
      </w:pPr>
      <w:r>
        <w:rPr>
          <w:rFonts w:hint="eastAsia" w:eastAsia="宋体"/>
          <w:bCs/>
          <w:sz w:val="24"/>
          <w:szCs w:val="21"/>
        </w:rPr>
        <w:t xml:space="preserve">供应商法定代表人（或授权代表）签字或盖章： </w:t>
      </w:r>
      <w:r>
        <w:rPr>
          <w:rFonts w:hint="eastAsia" w:eastAsia="宋体"/>
          <w:bCs/>
          <w:sz w:val="24"/>
          <w:szCs w:val="21"/>
          <w:u w:val="single"/>
        </w:rPr>
        <w:t xml:space="preserve">              </w:t>
      </w:r>
    </w:p>
    <w:p w14:paraId="42603EBA">
      <w:pPr>
        <w:widowControl/>
        <w:spacing w:line="360" w:lineRule="auto"/>
        <w:ind w:firstLine="480" w:firstLineChars="200"/>
        <w:jc w:val="left"/>
        <w:rPr>
          <w:rFonts w:eastAsia="宋体"/>
          <w:b/>
          <w:sz w:val="24"/>
          <w:szCs w:val="21"/>
        </w:rPr>
      </w:pPr>
      <w:r>
        <w:rPr>
          <w:rFonts w:hint="eastAsia" w:eastAsia="宋体"/>
          <w:bCs/>
          <w:sz w:val="24"/>
          <w:szCs w:val="21"/>
        </w:rPr>
        <w:t>日期：</w:t>
      </w:r>
      <w:r>
        <w:rPr>
          <w:rFonts w:hint="eastAsia" w:eastAsia="宋体"/>
          <w:bCs/>
          <w:sz w:val="24"/>
          <w:szCs w:val="21"/>
          <w:u w:val="single"/>
        </w:rPr>
        <w:t xml:space="preserve">     </w:t>
      </w:r>
      <w:r>
        <w:rPr>
          <w:rFonts w:hint="eastAsia" w:eastAsia="宋体"/>
          <w:bCs/>
          <w:sz w:val="24"/>
          <w:szCs w:val="21"/>
        </w:rPr>
        <w:t>年</w:t>
      </w:r>
      <w:r>
        <w:rPr>
          <w:rFonts w:hint="eastAsia" w:eastAsia="宋体"/>
          <w:bCs/>
          <w:sz w:val="24"/>
          <w:szCs w:val="21"/>
          <w:u w:val="single"/>
        </w:rPr>
        <w:t xml:space="preserve">    </w:t>
      </w:r>
      <w:r>
        <w:rPr>
          <w:rFonts w:hint="eastAsia" w:eastAsia="宋体"/>
          <w:bCs/>
          <w:sz w:val="24"/>
          <w:szCs w:val="21"/>
        </w:rPr>
        <w:t>月</w:t>
      </w:r>
      <w:r>
        <w:rPr>
          <w:rFonts w:hint="eastAsia" w:eastAsia="宋体"/>
          <w:bCs/>
          <w:sz w:val="24"/>
          <w:szCs w:val="21"/>
          <w:u w:val="single"/>
        </w:rPr>
        <w:t xml:space="preserve">    </w:t>
      </w:r>
      <w:r>
        <w:rPr>
          <w:rFonts w:hint="eastAsia" w:eastAsia="宋体"/>
          <w:bCs/>
          <w:sz w:val="24"/>
          <w:szCs w:val="21"/>
        </w:rPr>
        <w:t>日</w:t>
      </w:r>
      <w:r>
        <w:rPr>
          <w:rFonts w:eastAsia="宋体"/>
          <w:b/>
          <w:sz w:val="24"/>
          <w:szCs w:val="21"/>
        </w:rPr>
        <w:br w:type="page"/>
      </w:r>
    </w:p>
    <w:p w14:paraId="3F44381C">
      <w:pPr>
        <w:pStyle w:val="4"/>
        <w:snapToGrid w:val="0"/>
        <w:spacing w:before="120" w:beforeLines="50" w:after="120" w:afterLines="50" w:line="360" w:lineRule="auto"/>
        <w:jc w:val="center"/>
        <w:rPr>
          <w:rFonts w:ascii="Times New Roman" w:hAnsi="Times New Roman" w:eastAsia="宋体"/>
          <w:bCs/>
          <w:sz w:val="24"/>
          <w:szCs w:val="21"/>
        </w:rPr>
      </w:pPr>
      <w:bookmarkStart w:id="255" w:name="_Toc169861836"/>
      <w:r>
        <w:rPr>
          <w:rFonts w:hint="eastAsia" w:ascii="Times New Roman" w:hAnsi="Times New Roman" w:eastAsia="宋体"/>
          <w:bCs/>
          <w:sz w:val="24"/>
          <w:szCs w:val="21"/>
        </w:rPr>
        <w:t>十</w:t>
      </w:r>
      <w:r>
        <w:rPr>
          <w:rFonts w:ascii="Times New Roman" w:hAnsi="Times New Roman" w:eastAsia="宋体"/>
          <w:bCs/>
          <w:sz w:val="24"/>
          <w:szCs w:val="21"/>
        </w:rPr>
        <w:t>、响应</w:t>
      </w:r>
      <w:r>
        <w:rPr>
          <w:rFonts w:hint="eastAsia" w:ascii="Times New Roman" w:hAnsi="Times New Roman" w:eastAsia="宋体"/>
          <w:bCs/>
          <w:sz w:val="24"/>
          <w:szCs w:val="21"/>
        </w:rPr>
        <w:t>承诺</w:t>
      </w:r>
      <w:r>
        <w:rPr>
          <w:rFonts w:ascii="Times New Roman" w:hAnsi="Times New Roman" w:eastAsia="宋体"/>
          <w:bCs/>
          <w:sz w:val="24"/>
          <w:szCs w:val="21"/>
        </w:rPr>
        <w:t>书</w:t>
      </w:r>
      <w:bookmarkEnd w:id="255"/>
    </w:p>
    <w:p w14:paraId="47DD2B5F">
      <w:pPr>
        <w:spacing w:line="360" w:lineRule="auto"/>
        <w:ind w:firstLine="480" w:firstLineChars="200"/>
        <w:rPr>
          <w:rFonts w:ascii="宋体" w:hAnsi="宋体" w:eastAsia="宋体"/>
          <w:sz w:val="24"/>
          <w:szCs w:val="24"/>
        </w:rPr>
      </w:pPr>
      <w:r>
        <w:rPr>
          <w:rFonts w:hint="eastAsia" w:ascii="宋体" w:hAnsi="宋体" w:eastAsia="宋体"/>
          <w:sz w:val="24"/>
          <w:szCs w:val="24"/>
          <w:u w:val="single"/>
        </w:rPr>
        <w:t>致：开平市中心医院</w:t>
      </w:r>
      <w:r>
        <w:rPr>
          <w:rFonts w:hint="eastAsia" w:ascii="宋体" w:hAnsi="宋体" w:eastAsia="宋体"/>
          <w:sz w:val="24"/>
          <w:szCs w:val="24"/>
        </w:rPr>
        <w:t>：</w:t>
      </w:r>
    </w:p>
    <w:p w14:paraId="0A7BAB2A">
      <w:pPr>
        <w:spacing w:line="360" w:lineRule="auto"/>
        <w:ind w:firstLine="480" w:firstLineChars="200"/>
        <w:rPr>
          <w:rFonts w:ascii="宋体" w:hAnsi="宋体" w:eastAsia="宋体"/>
          <w:sz w:val="24"/>
          <w:szCs w:val="24"/>
        </w:rPr>
      </w:pPr>
      <w:r>
        <w:rPr>
          <w:rFonts w:hint="eastAsia" w:ascii="宋体" w:hAnsi="宋体" w:eastAsia="宋体"/>
          <w:sz w:val="24"/>
          <w:szCs w:val="24"/>
        </w:rPr>
        <w:t>本</w:t>
      </w:r>
      <w:r>
        <w:rPr>
          <w:rFonts w:hint="eastAsia" w:ascii="宋体" w:hAnsi="宋体" w:eastAsia="宋体"/>
          <w:sz w:val="24"/>
          <w:szCs w:val="24"/>
          <w:lang w:val="en-US" w:eastAsia="zh-CN"/>
        </w:rPr>
        <w:t>公司</w:t>
      </w:r>
      <w:r>
        <w:rPr>
          <w:rFonts w:hint="eastAsia" w:ascii="宋体" w:hAnsi="宋体" w:eastAsia="宋体"/>
          <w:sz w:val="24"/>
          <w:szCs w:val="24"/>
        </w:rPr>
        <w:t>已详细阅读了</w:t>
      </w:r>
      <w:r>
        <w:rPr>
          <w:rFonts w:hint="eastAsia" w:ascii="宋体" w:hAnsi="宋体" w:eastAsia="宋体"/>
          <w:sz w:val="24"/>
          <w:szCs w:val="24"/>
          <w:u w:val="single"/>
          <w:lang w:eastAsia="zh-CN"/>
        </w:rPr>
        <w:t>开平市中心医院病案密集架采购项目</w:t>
      </w:r>
      <w:r>
        <w:rPr>
          <w:rFonts w:hint="eastAsia" w:ascii="宋体" w:hAnsi="宋体" w:eastAsia="宋体"/>
          <w:sz w:val="24"/>
          <w:szCs w:val="24"/>
        </w:rPr>
        <w:t>项目</w:t>
      </w:r>
      <w:r>
        <w:rPr>
          <w:rFonts w:hint="eastAsia" w:ascii="宋体" w:hAnsi="宋体" w:eastAsia="宋体"/>
          <w:sz w:val="24"/>
          <w:szCs w:val="24"/>
          <w:lang w:val="en-US" w:eastAsia="zh-CN"/>
        </w:rPr>
        <w:t>遴选</w:t>
      </w:r>
      <w:r>
        <w:rPr>
          <w:rFonts w:hint="eastAsia" w:ascii="宋体" w:hAnsi="宋体" w:eastAsia="宋体"/>
          <w:sz w:val="24"/>
          <w:szCs w:val="24"/>
        </w:rPr>
        <w:t>文件，自愿参加上述工程响应，现就有关事项向采购人郑重承诺如下：</w:t>
      </w:r>
    </w:p>
    <w:p w14:paraId="4D5CF83B">
      <w:pPr>
        <w:spacing w:line="360" w:lineRule="auto"/>
        <w:ind w:firstLine="480" w:firstLineChars="200"/>
        <w:rPr>
          <w:rFonts w:ascii="宋体" w:hAnsi="宋体" w:eastAsia="宋体"/>
          <w:sz w:val="24"/>
          <w:szCs w:val="24"/>
        </w:rPr>
      </w:pPr>
      <w:r>
        <w:rPr>
          <w:rFonts w:hint="eastAsia" w:ascii="宋体" w:hAnsi="宋体" w:eastAsia="宋体"/>
          <w:sz w:val="24"/>
          <w:szCs w:val="24"/>
        </w:rPr>
        <w:t>1.本供应商自愿在</w:t>
      </w:r>
      <w:r>
        <w:rPr>
          <w:rFonts w:hint="eastAsia" w:ascii="宋体" w:hAnsi="宋体" w:eastAsia="宋体"/>
          <w:sz w:val="24"/>
          <w:szCs w:val="24"/>
          <w:lang w:eastAsia="zh-CN"/>
        </w:rPr>
        <w:t>遴选</w:t>
      </w:r>
      <w:r>
        <w:rPr>
          <w:rFonts w:hint="eastAsia" w:ascii="宋体" w:hAnsi="宋体" w:eastAsia="宋体"/>
          <w:sz w:val="24"/>
          <w:szCs w:val="24"/>
        </w:rPr>
        <w:t>文件规定的时限内按照文件要求完成</w:t>
      </w:r>
      <w:r>
        <w:rPr>
          <w:rFonts w:hint="eastAsia" w:ascii="宋体" w:hAnsi="宋体" w:eastAsia="宋体"/>
          <w:sz w:val="24"/>
          <w:szCs w:val="24"/>
          <w:lang w:val="en-US" w:eastAsia="zh-CN"/>
        </w:rPr>
        <w:t>采购项目</w:t>
      </w:r>
      <w:r>
        <w:rPr>
          <w:rFonts w:hint="eastAsia" w:ascii="宋体" w:hAnsi="宋体" w:eastAsia="宋体"/>
          <w:sz w:val="24"/>
          <w:szCs w:val="24"/>
        </w:rPr>
        <w:t>，按时向采购人</w:t>
      </w:r>
      <w:r>
        <w:rPr>
          <w:rFonts w:hint="eastAsia" w:ascii="宋体" w:hAnsi="宋体" w:eastAsia="宋体"/>
          <w:sz w:val="24"/>
          <w:szCs w:val="24"/>
          <w:lang w:val="en-US" w:eastAsia="zh-CN"/>
        </w:rPr>
        <w:t>完成交货及安装</w:t>
      </w:r>
      <w:r>
        <w:rPr>
          <w:rFonts w:hint="eastAsia" w:ascii="宋体" w:hAnsi="宋体" w:eastAsia="宋体"/>
          <w:sz w:val="24"/>
          <w:szCs w:val="24"/>
        </w:rPr>
        <w:t>。质量按照</w:t>
      </w:r>
      <w:r>
        <w:rPr>
          <w:rFonts w:hint="eastAsia" w:ascii="宋体" w:hAnsi="宋体" w:eastAsia="宋体"/>
          <w:sz w:val="24"/>
          <w:szCs w:val="24"/>
          <w:lang w:val="en-US" w:eastAsia="zh-CN"/>
        </w:rPr>
        <w:t>遴选</w:t>
      </w:r>
      <w:r>
        <w:rPr>
          <w:rFonts w:hint="eastAsia" w:ascii="宋体" w:hAnsi="宋体" w:eastAsia="宋体"/>
          <w:sz w:val="24"/>
          <w:szCs w:val="24"/>
        </w:rPr>
        <w:t>文件的承诺并满足</w:t>
      </w:r>
      <w:r>
        <w:rPr>
          <w:rFonts w:hint="eastAsia" w:ascii="宋体" w:hAnsi="宋体" w:eastAsia="宋体"/>
          <w:sz w:val="24"/>
          <w:szCs w:val="24"/>
          <w:lang w:eastAsia="zh-CN"/>
        </w:rPr>
        <w:t>遴选</w:t>
      </w:r>
      <w:r>
        <w:rPr>
          <w:rFonts w:hint="eastAsia" w:ascii="宋体" w:hAnsi="宋体" w:eastAsia="宋体"/>
          <w:sz w:val="24"/>
          <w:szCs w:val="24"/>
        </w:rPr>
        <w:t>文件要求。</w:t>
      </w:r>
    </w:p>
    <w:p w14:paraId="48E62F9D">
      <w:pPr>
        <w:spacing w:line="360" w:lineRule="auto"/>
        <w:ind w:firstLine="480" w:firstLineChars="200"/>
        <w:rPr>
          <w:rFonts w:ascii="宋体" w:hAnsi="宋体" w:eastAsia="宋体"/>
          <w:sz w:val="24"/>
          <w:szCs w:val="24"/>
        </w:rPr>
      </w:pPr>
      <w:r>
        <w:rPr>
          <w:rFonts w:hint="eastAsia" w:ascii="宋体" w:hAnsi="宋体" w:eastAsia="宋体"/>
          <w:sz w:val="24"/>
          <w:szCs w:val="24"/>
        </w:rPr>
        <w:t>2.遵守中华人民共和国、广东省、江门市有关招标投标的法律法规规定，自觉</w:t>
      </w:r>
      <w:r>
        <w:rPr>
          <w:rFonts w:hint="eastAsia" w:ascii="宋体" w:hAnsi="宋体" w:eastAsia="宋体"/>
          <w:sz w:val="24"/>
          <w:szCs w:val="24"/>
          <w:lang w:val="en-US" w:eastAsia="zh-CN"/>
        </w:rPr>
        <w:t>采购</w:t>
      </w:r>
      <w:r>
        <w:rPr>
          <w:rFonts w:hint="eastAsia" w:ascii="宋体" w:hAnsi="宋体" w:eastAsia="宋体"/>
          <w:sz w:val="24"/>
          <w:szCs w:val="24"/>
        </w:rPr>
        <w:t>市场秩序。否则，同意被废除</w:t>
      </w:r>
      <w:r>
        <w:rPr>
          <w:rFonts w:hint="eastAsia" w:ascii="宋体" w:hAnsi="宋体" w:eastAsia="宋体"/>
          <w:sz w:val="24"/>
          <w:szCs w:val="24"/>
          <w:lang w:val="en-US" w:eastAsia="zh-CN"/>
        </w:rPr>
        <w:t>遴选</w:t>
      </w:r>
      <w:r>
        <w:rPr>
          <w:rFonts w:hint="eastAsia" w:ascii="宋体" w:hAnsi="宋体" w:eastAsia="宋体"/>
          <w:sz w:val="24"/>
          <w:szCs w:val="24"/>
        </w:rPr>
        <w:t>资格并接受处罚。</w:t>
      </w:r>
    </w:p>
    <w:p w14:paraId="2F990581">
      <w:pPr>
        <w:spacing w:line="360" w:lineRule="auto"/>
        <w:ind w:firstLine="480" w:firstLineChars="200"/>
        <w:rPr>
          <w:rFonts w:ascii="宋体" w:hAnsi="宋体" w:eastAsia="宋体"/>
          <w:sz w:val="24"/>
          <w:szCs w:val="24"/>
        </w:rPr>
      </w:pPr>
      <w:r>
        <w:rPr>
          <w:rFonts w:hint="eastAsia" w:ascii="宋体" w:hAnsi="宋体" w:eastAsia="宋体"/>
          <w:sz w:val="24"/>
          <w:szCs w:val="24"/>
        </w:rPr>
        <w:t>3.保证</w:t>
      </w:r>
      <w:r>
        <w:rPr>
          <w:rFonts w:hint="eastAsia" w:ascii="宋体" w:hAnsi="宋体" w:eastAsia="宋体"/>
          <w:sz w:val="24"/>
          <w:szCs w:val="24"/>
          <w:lang w:val="en-US" w:eastAsia="zh-CN"/>
        </w:rPr>
        <w:t>遴选</w:t>
      </w:r>
      <w:r>
        <w:rPr>
          <w:rFonts w:hint="eastAsia" w:ascii="宋体" w:hAnsi="宋体" w:eastAsia="宋体"/>
          <w:sz w:val="24"/>
          <w:szCs w:val="24"/>
        </w:rPr>
        <w:t>文件内容无任何虚假。若评标过程中查出有虚假，同意作无效</w:t>
      </w:r>
      <w:r>
        <w:rPr>
          <w:rFonts w:hint="eastAsia" w:ascii="宋体" w:hAnsi="宋体" w:eastAsia="宋体"/>
          <w:sz w:val="24"/>
          <w:szCs w:val="24"/>
          <w:lang w:val="en-US" w:eastAsia="zh-CN"/>
        </w:rPr>
        <w:t>遴选</w:t>
      </w:r>
      <w:r>
        <w:rPr>
          <w:rFonts w:hint="eastAsia" w:ascii="宋体" w:hAnsi="宋体" w:eastAsia="宋体"/>
          <w:sz w:val="24"/>
          <w:szCs w:val="24"/>
        </w:rPr>
        <w:t>文件处理并被没收</w:t>
      </w:r>
      <w:r>
        <w:rPr>
          <w:rFonts w:hint="eastAsia" w:ascii="宋体" w:hAnsi="宋体" w:eastAsia="宋体"/>
          <w:sz w:val="24"/>
          <w:szCs w:val="24"/>
          <w:lang w:val="en-US" w:eastAsia="zh-CN"/>
        </w:rPr>
        <w:t>遴选</w:t>
      </w:r>
      <w:r>
        <w:rPr>
          <w:rFonts w:hint="eastAsia" w:ascii="宋体" w:hAnsi="宋体" w:eastAsia="宋体"/>
          <w:sz w:val="24"/>
          <w:szCs w:val="24"/>
        </w:rPr>
        <w:t>担保，若中标之后查出有虚假，同意废除中标资格并被没收</w:t>
      </w:r>
      <w:r>
        <w:rPr>
          <w:rFonts w:hint="eastAsia" w:ascii="宋体" w:hAnsi="宋体" w:eastAsia="宋体"/>
          <w:sz w:val="24"/>
          <w:szCs w:val="24"/>
          <w:lang w:val="en-US" w:eastAsia="zh-CN"/>
        </w:rPr>
        <w:t>遴选</w:t>
      </w:r>
      <w:r>
        <w:rPr>
          <w:rFonts w:hint="eastAsia" w:ascii="宋体" w:hAnsi="宋体" w:eastAsia="宋体"/>
          <w:sz w:val="24"/>
          <w:szCs w:val="24"/>
        </w:rPr>
        <w:t>担保。</w:t>
      </w:r>
    </w:p>
    <w:p w14:paraId="0C0EB4ED">
      <w:pPr>
        <w:spacing w:line="360" w:lineRule="auto"/>
        <w:ind w:firstLine="480" w:firstLineChars="200"/>
        <w:outlineLvl w:val="2"/>
        <w:rPr>
          <w:rFonts w:ascii="宋体" w:hAnsi="宋体" w:eastAsia="宋体"/>
          <w:sz w:val="24"/>
          <w:szCs w:val="24"/>
        </w:rPr>
      </w:pPr>
      <w:r>
        <w:rPr>
          <w:rFonts w:hint="eastAsia" w:ascii="宋体" w:hAnsi="宋体" w:eastAsia="宋体"/>
          <w:sz w:val="24"/>
          <w:szCs w:val="24"/>
        </w:rPr>
        <w:t>4.保证</w:t>
      </w:r>
      <w:r>
        <w:rPr>
          <w:rFonts w:hint="eastAsia" w:ascii="宋体" w:hAnsi="宋体" w:eastAsia="宋体"/>
          <w:sz w:val="24"/>
          <w:szCs w:val="24"/>
          <w:lang w:val="en-US" w:eastAsia="zh-CN"/>
        </w:rPr>
        <w:t>遴选</w:t>
      </w:r>
      <w:r>
        <w:rPr>
          <w:rFonts w:hint="eastAsia" w:ascii="宋体" w:hAnsi="宋体" w:eastAsia="宋体"/>
          <w:sz w:val="24"/>
          <w:szCs w:val="24"/>
        </w:rPr>
        <w:t>文件不存在低于成本的恶意报价行为。</w:t>
      </w:r>
    </w:p>
    <w:p w14:paraId="4C262C8A">
      <w:pPr>
        <w:spacing w:line="360" w:lineRule="auto"/>
        <w:ind w:firstLine="480" w:firstLineChars="200"/>
        <w:rPr>
          <w:rFonts w:ascii="宋体" w:hAnsi="宋体" w:eastAsia="宋体"/>
          <w:sz w:val="24"/>
          <w:szCs w:val="24"/>
        </w:rPr>
      </w:pPr>
      <w:r>
        <w:rPr>
          <w:rFonts w:hint="eastAsia" w:ascii="宋体" w:hAnsi="宋体" w:eastAsia="宋体"/>
          <w:sz w:val="24"/>
          <w:szCs w:val="24"/>
        </w:rPr>
        <w:t>5.保证按照</w:t>
      </w:r>
      <w:r>
        <w:rPr>
          <w:rFonts w:hint="eastAsia" w:ascii="宋体" w:hAnsi="宋体" w:eastAsia="宋体"/>
          <w:sz w:val="24"/>
          <w:szCs w:val="24"/>
          <w:lang w:eastAsia="zh-CN"/>
        </w:rPr>
        <w:t>遴选</w:t>
      </w:r>
      <w:r>
        <w:rPr>
          <w:rFonts w:hint="eastAsia" w:ascii="宋体" w:hAnsi="宋体" w:eastAsia="宋体"/>
          <w:sz w:val="24"/>
          <w:szCs w:val="24"/>
        </w:rPr>
        <w:t>文件及中标通知书规定签定合同。否则，同意接受采购人违约处罚并被没收</w:t>
      </w:r>
      <w:r>
        <w:rPr>
          <w:rFonts w:hint="eastAsia" w:ascii="宋体" w:hAnsi="宋体" w:eastAsia="宋体"/>
          <w:sz w:val="24"/>
          <w:szCs w:val="24"/>
          <w:lang w:val="en-US" w:eastAsia="zh-CN"/>
        </w:rPr>
        <w:t>遴选</w:t>
      </w:r>
      <w:r>
        <w:rPr>
          <w:rFonts w:hint="eastAsia" w:ascii="宋体" w:hAnsi="宋体" w:eastAsia="宋体"/>
          <w:sz w:val="24"/>
          <w:szCs w:val="24"/>
        </w:rPr>
        <w:t>担保。</w:t>
      </w:r>
    </w:p>
    <w:p w14:paraId="081EAC33">
      <w:pPr>
        <w:spacing w:line="360" w:lineRule="auto"/>
        <w:ind w:firstLine="480" w:firstLineChars="200"/>
        <w:rPr>
          <w:rFonts w:ascii="宋体" w:hAnsi="宋体" w:eastAsia="宋体"/>
          <w:sz w:val="24"/>
          <w:szCs w:val="24"/>
        </w:rPr>
      </w:pPr>
      <w:r>
        <w:rPr>
          <w:rFonts w:hint="eastAsia" w:ascii="宋体" w:hAnsi="宋体" w:eastAsia="宋体"/>
          <w:sz w:val="24"/>
          <w:szCs w:val="24"/>
        </w:rPr>
        <w:t>6.保证按照合同约定完成合同范围内的全部内容。否则，同意接受采购人对供应商违约处理。</w:t>
      </w:r>
    </w:p>
    <w:p w14:paraId="389E017A">
      <w:pPr>
        <w:spacing w:line="360" w:lineRule="auto"/>
        <w:ind w:firstLine="480" w:firstLineChars="200"/>
        <w:rPr>
          <w:rFonts w:ascii="宋体" w:hAnsi="宋体" w:eastAsia="宋体"/>
          <w:sz w:val="24"/>
          <w:szCs w:val="24"/>
        </w:rPr>
      </w:pPr>
      <w:r>
        <w:rPr>
          <w:rFonts w:hint="eastAsia" w:ascii="宋体" w:hAnsi="宋体" w:eastAsia="宋体"/>
          <w:sz w:val="24"/>
          <w:szCs w:val="24"/>
        </w:rPr>
        <w:t>7.保证中标之后不转包、不挂靠，若分包将征得采购人同意并遵守相关法律法规。</w:t>
      </w:r>
    </w:p>
    <w:p w14:paraId="4937291F">
      <w:pPr>
        <w:spacing w:line="360" w:lineRule="auto"/>
        <w:ind w:firstLine="480" w:firstLineChars="200"/>
        <w:rPr>
          <w:rFonts w:ascii="宋体" w:hAnsi="宋体" w:eastAsia="宋体"/>
          <w:sz w:val="24"/>
          <w:szCs w:val="24"/>
        </w:rPr>
      </w:pPr>
      <w:r>
        <w:rPr>
          <w:rFonts w:hint="eastAsia" w:ascii="宋体" w:hAnsi="宋体" w:eastAsia="宋体"/>
          <w:sz w:val="24"/>
          <w:szCs w:val="24"/>
        </w:rPr>
        <w:t>8.保证中标之后按</w:t>
      </w:r>
      <w:r>
        <w:rPr>
          <w:rFonts w:hint="eastAsia" w:ascii="宋体" w:hAnsi="宋体" w:eastAsia="宋体"/>
          <w:sz w:val="24"/>
          <w:szCs w:val="24"/>
          <w:lang w:eastAsia="zh-CN"/>
        </w:rPr>
        <w:t>遴选</w:t>
      </w:r>
      <w:r>
        <w:rPr>
          <w:rFonts w:hint="eastAsia" w:ascii="宋体" w:hAnsi="宋体" w:eastAsia="宋体"/>
          <w:sz w:val="24"/>
          <w:szCs w:val="24"/>
        </w:rPr>
        <w:t>文件要求派驻管理人员及投入机械设备。</w:t>
      </w:r>
    </w:p>
    <w:p w14:paraId="6DCEA783">
      <w:pPr>
        <w:spacing w:line="360" w:lineRule="auto"/>
        <w:ind w:firstLine="480" w:firstLineChars="200"/>
        <w:rPr>
          <w:rFonts w:ascii="宋体" w:hAnsi="宋体" w:eastAsia="宋体"/>
          <w:sz w:val="24"/>
          <w:szCs w:val="24"/>
        </w:rPr>
      </w:pPr>
      <w:r>
        <w:rPr>
          <w:rFonts w:hint="eastAsia" w:ascii="宋体" w:hAnsi="宋体" w:eastAsia="宋体"/>
          <w:sz w:val="24"/>
          <w:szCs w:val="24"/>
        </w:rPr>
        <w:t>9.保证中标之后密切配合</w:t>
      </w:r>
      <w:r>
        <w:rPr>
          <w:rFonts w:hint="eastAsia" w:ascii="宋体" w:hAnsi="宋体" w:eastAsia="宋体"/>
          <w:sz w:val="24"/>
          <w:szCs w:val="24"/>
          <w:lang w:val="en-US" w:eastAsia="zh-CN"/>
        </w:rPr>
        <w:t>采购人</w:t>
      </w:r>
      <w:r>
        <w:rPr>
          <w:rFonts w:hint="eastAsia" w:ascii="宋体" w:hAnsi="宋体" w:eastAsia="宋体"/>
          <w:sz w:val="24"/>
          <w:szCs w:val="24"/>
        </w:rPr>
        <w:t>开展工作。</w:t>
      </w:r>
    </w:p>
    <w:p w14:paraId="10C2CAEF">
      <w:pPr>
        <w:spacing w:line="360" w:lineRule="auto"/>
        <w:ind w:firstLine="480" w:firstLineChars="200"/>
        <w:rPr>
          <w:rFonts w:ascii="宋体" w:hAnsi="宋体" w:eastAsia="宋体"/>
          <w:sz w:val="24"/>
        </w:rPr>
      </w:pPr>
    </w:p>
    <w:p w14:paraId="038BDF8A">
      <w:pPr>
        <w:spacing w:line="360" w:lineRule="auto"/>
        <w:ind w:firstLine="480" w:firstLineChars="200"/>
        <w:rPr>
          <w:rFonts w:ascii="宋体" w:hAnsi="宋体" w:eastAsia="宋体"/>
          <w:sz w:val="24"/>
        </w:rPr>
      </w:pPr>
    </w:p>
    <w:p w14:paraId="26DF8FA7">
      <w:pPr>
        <w:spacing w:line="360" w:lineRule="auto"/>
        <w:ind w:firstLine="480" w:firstLineChars="200"/>
        <w:rPr>
          <w:rFonts w:ascii="宋体" w:hAnsi="宋体" w:eastAsia="宋体"/>
          <w:sz w:val="24"/>
        </w:rPr>
      </w:pPr>
      <w:r>
        <w:rPr>
          <w:rFonts w:hint="eastAsia" w:ascii="宋体" w:hAnsi="宋体" w:eastAsia="宋体"/>
          <w:sz w:val="24"/>
          <w:lang w:val="en-US" w:eastAsia="zh-CN"/>
        </w:rPr>
        <w:t>供应商</w:t>
      </w:r>
      <w:r>
        <w:rPr>
          <w:rFonts w:ascii="宋体" w:hAnsi="宋体" w:eastAsia="宋体"/>
          <w:sz w:val="24"/>
        </w:rPr>
        <w:t>名称：</w:t>
      </w:r>
      <w:r>
        <w:rPr>
          <w:rFonts w:ascii="宋体" w:hAnsi="宋体" w:eastAsia="宋体"/>
          <w:sz w:val="24"/>
          <w:u w:val="single"/>
        </w:rPr>
        <w:t xml:space="preserve">                </w:t>
      </w:r>
      <w:r>
        <w:rPr>
          <w:rFonts w:ascii="宋体" w:hAnsi="宋体" w:eastAsia="宋体"/>
          <w:sz w:val="24"/>
        </w:rPr>
        <w:t xml:space="preserve">（盖公章） </w:t>
      </w:r>
    </w:p>
    <w:p w14:paraId="0EA3AFD4">
      <w:pPr>
        <w:spacing w:line="360" w:lineRule="auto"/>
        <w:ind w:firstLine="480" w:firstLineChars="200"/>
        <w:rPr>
          <w:rFonts w:ascii="宋体" w:hAnsi="宋体" w:eastAsia="宋体"/>
          <w:sz w:val="24"/>
        </w:rPr>
      </w:pPr>
      <w:r>
        <w:rPr>
          <w:rFonts w:hint="eastAsia" w:ascii="宋体" w:hAnsi="宋体" w:eastAsia="宋体"/>
          <w:sz w:val="24"/>
          <w:lang w:val="en-US" w:eastAsia="zh-CN"/>
        </w:rPr>
        <w:t>供应商</w:t>
      </w:r>
      <w:r>
        <w:rPr>
          <w:rFonts w:ascii="宋体" w:hAnsi="宋体" w:eastAsia="宋体"/>
          <w:sz w:val="24"/>
        </w:rPr>
        <w:t>法定代表人（或授权代表）签字或盖章：</w:t>
      </w:r>
      <w:r>
        <w:rPr>
          <w:rFonts w:ascii="宋体" w:hAnsi="宋体" w:eastAsia="宋体"/>
          <w:sz w:val="24"/>
          <w:u w:val="single"/>
        </w:rPr>
        <w:t xml:space="preserve">               </w:t>
      </w:r>
    </w:p>
    <w:p w14:paraId="37B16FF4">
      <w:pPr>
        <w:spacing w:line="360" w:lineRule="auto"/>
        <w:ind w:firstLine="480" w:firstLineChars="200"/>
        <w:rPr>
          <w:rFonts w:ascii="宋体" w:hAnsi="宋体" w:eastAsia="宋体"/>
          <w:sz w:val="24"/>
        </w:rPr>
      </w:pPr>
      <w:r>
        <w:rPr>
          <w:rFonts w:ascii="宋体" w:hAnsi="宋体" w:eastAsia="宋体"/>
          <w:sz w:val="24"/>
        </w:rPr>
        <w:t>日期：</w:t>
      </w:r>
      <w:r>
        <w:rPr>
          <w:rFonts w:ascii="宋体" w:hAnsi="宋体" w:eastAsia="宋体"/>
          <w:sz w:val="24"/>
          <w:u w:val="single"/>
        </w:rPr>
        <w:t xml:space="preserve">     </w:t>
      </w:r>
      <w:r>
        <w:rPr>
          <w:rFonts w:ascii="宋体" w:hAnsi="宋体" w:eastAsia="宋体"/>
          <w:sz w:val="24"/>
        </w:rPr>
        <w:t>年</w:t>
      </w:r>
      <w:r>
        <w:rPr>
          <w:rFonts w:ascii="宋体" w:hAnsi="宋体" w:eastAsia="宋体"/>
          <w:sz w:val="24"/>
          <w:u w:val="single"/>
        </w:rPr>
        <w:t xml:space="preserve">    </w:t>
      </w:r>
      <w:r>
        <w:rPr>
          <w:rFonts w:ascii="宋体" w:hAnsi="宋体" w:eastAsia="宋体"/>
          <w:sz w:val="24"/>
        </w:rPr>
        <w:t>月</w:t>
      </w:r>
      <w:r>
        <w:rPr>
          <w:rFonts w:ascii="宋体" w:hAnsi="宋体" w:eastAsia="宋体"/>
          <w:sz w:val="24"/>
          <w:u w:val="single"/>
        </w:rPr>
        <w:t xml:space="preserve">    </w:t>
      </w:r>
      <w:r>
        <w:rPr>
          <w:rFonts w:ascii="宋体" w:hAnsi="宋体" w:eastAsia="宋体"/>
          <w:sz w:val="24"/>
        </w:rPr>
        <w:t>日</w:t>
      </w:r>
    </w:p>
    <w:p w14:paraId="2FA67093">
      <w:pPr>
        <w:widowControl/>
        <w:jc w:val="left"/>
        <w:rPr>
          <w:rFonts w:ascii="宋体" w:eastAsia="宋体" w:cs="宋体"/>
          <w:kern w:val="0"/>
          <w:sz w:val="22"/>
          <w:szCs w:val="22"/>
        </w:rPr>
      </w:pPr>
    </w:p>
    <w:sectPr>
      <w:headerReference r:id="rId10" w:type="first"/>
      <w:footerReference r:id="rId12" w:type="first"/>
      <w:headerReference r:id="rId9" w:type="default"/>
      <w:footerReference r:id="rId11" w:type="default"/>
      <w:pgSz w:w="11926" w:h="16867"/>
      <w:pgMar w:top="1440" w:right="1797" w:bottom="1440" w:left="1797" w:header="720" w:footer="720" w:gutter="0"/>
      <w:pgNumType w:fmt="decimal"/>
      <w:cols w:space="720" w:num="1"/>
      <w:docGrid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Inter">
    <w:panose1 w:val="020B0502030000000004"/>
    <w:charset w:val="00"/>
    <w:family w:val="auto"/>
    <w:pitch w:val="default"/>
    <w:sig w:usb0="E00002FF" w:usb1="1200A1FF" w:usb2="00000001" w:usb3="00000000" w:csb0="0000019F" w:csb1="00000000"/>
  </w:font>
  <w:font w:name="DejaVuSans">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E7009">
    <w:pPr>
      <w:pStyle w:val="28"/>
      <w:ind w:right="180" w:firstLine="4320" w:firstLineChars="2400"/>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257E74">
                          <w:pPr>
                            <w:pStyle w:val="2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2257E74">
                    <w:pPr>
                      <w:pStyle w:val="2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72F13">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E89803">
                          <w:pPr>
                            <w:pStyle w:val="2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BE89803">
                    <w:pPr>
                      <w:pStyle w:val="2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513A2">
    <w:pPr>
      <w:pStyle w:val="28"/>
      <w:ind w:right="180" w:firstLine="4320" w:firstLineChars="2400"/>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11661C">
                          <w:pPr>
                            <w:pStyle w:val="2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B11661C">
                    <w:pPr>
                      <w:pStyle w:val="2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3204D">
    <w:pPr>
      <w:pStyle w:val="2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FBFE5">
                          <w:pPr>
                            <w:pStyle w:val="2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B5FBFE5">
                    <w:pPr>
                      <w:pStyle w:val="2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96871">
    <w:pPr>
      <w:pStyle w:val="2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772DB4">
                          <w:pPr>
                            <w:pStyle w:val="28"/>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3772DB4">
                    <w:pPr>
                      <w:pStyle w:val="28"/>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2D46C">
    <w:pPr>
      <w:pStyle w:val="28"/>
      <w:tabs>
        <w:tab w:val="left" w:pos="9027"/>
      </w:tabs>
      <w:ind w:right="-18"/>
      <w:rPr>
        <w:rStyle w:val="46"/>
        <w:szCs w:val="21"/>
      </w:rPr>
    </w:pPr>
    <w:r>
      <w:rPr>
        <w:rStyle w:val="46"/>
        <w:rFonts w:hint="eastAsia"/>
        <w:szCs w:val="21"/>
      </w:rPr>
      <w:t xml:space="preserve">                                                                     </w:t>
    </w:r>
  </w:p>
  <w:p w14:paraId="133AB148">
    <w:pPr>
      <w:pStyle w:val="28"/>
      <w:tabs>
        <w:tab w:val="left" w:pos="9027"/>
      </w:tabs>
      <w:ind w:right="-18"/>
      <w:rPr>
        <w:rStyle w:val="46"/>
        <w:szCs w:val="21"/>
      </w:rPr>
    </w:pPr>
    <w:r>
      <w:rPr>
        <w:rStyle w:val="46"/>
        <w:rFonts w:hint="eastAsia"/>
        <w:szCs w:val="21"/>
      </w:rPr>
      <w:t xml:space="preserve">   深圳市合创建设工程顾问有限公司                                               第 </w:t>
    </w:r>
    <w:r>
      <w:rPr>
        <w:szCs w:val="21"/>
      </w:rPr>
      <w:fldChar w:fldCharType="begin"/>
    </w:r>
    <w:r>
      <w:rPr>
        <w:rStyle w:val="46"/>
        <w:szCs w:val="21"/>
      </w:rPr>
      <w:instrText xml:space="preserve">PAGE   \* MERGEFORMAT</w:instrText>
    </w:r>
    <w:r>
      <w:rPr>
        <w:szCs w:val="21"/>
      </w:rPr>
      <w:fldChar w:fldCharType="separate"/>
    </w:r>
    <w:r>
      <w:rPr>
        <w:rStyle w:val="46"/>
        <w:szCs w:val="21"/>
        <w:lang w:val="zh-CN"/>
      </w:rPr>
      <w:t>1</w:t>
    </w:r>
    <w:r>
      <w:rPr>
        <w:szCs w:val="21"/>
      </w:rPr>
      <w:fldChar w:fldCharType="end"/>
    </w:r>
    <w:r>
      <w:rPr>
        <w:rStyle w:val="46"/>
        <w:rFonts w:hint="eastAsia"/>
        <w:szCs w:val="21"/>
      </w:rPr>
      <w:t xml:space="preserve"> 页 共 45 页</w:t>
    </w:r>
  </w:p>
  <w:p w14:paraId="45BE6D84">
    <w:pPr>
      <w:rPr>
        <w:rStyle w:val="46"/>
        <w:szCs w:val="21"/>
      </w:rPr>
    </w:pPr>
  </w:p>
  <w:p w14:paraId="5A20F8C4">
    <w:pPr>
      <w:rPr>
        <w:rStyle w:val="46"/>
        <w:szCs w:val="21"/>
      </w:rPr>
    </w:pPr>
  </w:p>
  <w:p w14:paraId="3916DA04">
    <w:pPr>
      <w:rPr>
        <w:rStyle w:val="46"/>
        <w:szCs w:val="21"/>
      </w:rPr>
    </w:pPr>
  </w:p>
  <w:p w14:paraId="639606B4">
    <w:pPr>
      <w:rPr>
        <w:rStyle w:val="46"/>
        <w:szCs w:val="21"/>
      </w:rPr>
    </w:pPr>
  </w:p>
  <w:p w14:paraId="4B0EF27E">
    <w:pPr>
      <w:rPr>
        <w:rStyle w:val="46"/>
        <w:szCs w:val="21"/>
      </w:rPr>
    </w:pPr>
  </w:p>
  <w:p w14:paraId="6796415F">
    <w:pPr>
      <w:rPr>
        <w:rStyle w:val="46"/>
        <w:szCs w:val="21"/>
      </w:rPr>
    </w:pPr>
  </w:p>
  <w:p w14:paraId="2247BFA9">
    <w:pPr>
      <w:rPr>
        <w:rStyle w:val="46"/>
        <w:szCs w:val="21"/>
      </w:rPr>
    </w:pPr>
  </w:p>
  <w:p w14:paraId="6956A92F">
    <w:pPr>
      <w:rPr>
        <w:rStyle w:val="46"/>
        <w:szCs w:val="21"/>
      </w:rPr>
    </w:pPr>
  </w:p>
  <w:p w14:paraId="7FFE3B74">
    <w:pPr>
      <w:rPr>
        <w:rStyle w:val="46"/>
        <w:szCs w:val="21"/>
      </w:rPr>
    </w:pPr>
  </w:p>
  <w:p w14:paraId="3BCDEB53"/>
  <w:p w14:paraId="12E145F1"/>
  <w:p w14:paraId="59310303"/>
  <w:p w14:paraId="5CA03DA6"/>
  <w:p w14:paraId="31C642DE"/>
  <w:p w14:paraId="2B8795F7"/>
  <w:p w14:paraId="2A0C968A"/>
  <w:p w14:paraId="65EA117B"/>
  <w:p w14:paraId="28A57C7E"/>
  <w:p w14:paraId="17DB128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29AFA">
    <w:pPr>
      <w:pStyle w:val="29"/>
      <w:jc w:val="left"/>
      <w:rPr>
        <w:rFonts w:hint="eastAsia" w:eastAsia="宋体"/>
        <w:lang w:eastAsia="zh-CN"/>
      </w:rPr>
    </w:pPr>
    <w:r>
      <w:rPr>
        <w:rFonts w:hint="eastAsia" w:ascii="华文新魏" w:hAnsi="华文新魏" w:eastAsia="华文新魏" w:cs="华文新魏"/>
        <w:b/>
        <w:bCs/>
        <w:sz w:val="20"/>
        <w:szCs w:val="20"/>
        <w:lang w:eastAsia="zh-CN"/>
      </w:rPr>
      <w:t>开平市中心医院病案密集架采购项目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9760F">
    <w:pPr>
      <w:pStyle w:val="29"/>
      <w:jc w:val="left"/>
      <w:rPr>
        <w:rFonts w:hint="eastAsia" w:eastAsia="宋体"/>
        <w:lang w:val="en-US" w:eastAsia="zh-CN"/>
      </w:rPr>
    </w:pPr>
    <w:r>
      <w:rPr>
        <w:rFonts w:hint="eastAsia" w:ascii="华文新魏" w:hAnsi="华文新魏" w:eastAsia="华文新魏" w:cs="华文新魏"/>
        <w:b/>
        <w:bCs/>
        <w:sz w:val="20"/>
        <w:szCs w:val="20"/>
        <w:lang w:eastAsia="zh-CN"/>
      </w:rPr>
      <w:t>开平市中心医院病案密集架采购项目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F33C0">
    <w:pPr>
      <w:ind w:left="7560" w:hanging="7560" w:hangingChars="4200"/>
      <w:jc w:val="left"/>
    </w:pPr>
    <w:r>
      <w:rPr>
        <w:rFonts w:hint="eastAsia" w:ascii="宋体" w:hAnsi="宋体" w:eastAsia="宋体"/>
        <w:sz w:val="18"/>
        <w:szCs w:val="18"/>
      </w:rPr>
      <w:t>项目名称：</w:t>
    </w:r>
    <w:r>
      <w:rPr>
        <w:rFonts w:hint="eastAsia" w:ascii="宋体" w:hAnsi="宋体" w:eastAsia="宋体"/>
        <w:sz w:val="18"/>
        <w:szCs w:val="18"/>
        <w:lang w:eastAsia="zh-CN"/>
      </w:rPr>
      <w:t>开平市中心医院病案密集架采购项目</w:t>
    </w:r>
    <w:r>
      <w:rPr>
        <w:rFonts w:hint="eastAsia" w:ascii="宋体" w:hAnsi="宋体" w:eastAsia="宋体"/>
        <w:sz w:val="18"/>
        <w:szCs w:val="18"/>
        <w:lang w:val="en-US" w:eastAsia="zh-CN"/>
      </w:rPr>
      <w:t xml:space="preserve">           </w:t>
    </w:r>
    <w:r>
      <w:rPr>
        <w:rFonts w:ascii="宋体" w:hAnsi="宋体" w:eastAsia="宋体"/>
        <w:sz w:val="18"/>
        <w:szCs w:val="18"/>
      </w:rPr>
      <w:t xml:space="preserve">                </w:t>
    </w:r>
    <w:r>
      <w:rPr>
        <w:rFonts w:hint="eastAsia" w:ascii="宋体" w:hAnsi="宋体" w:eastAsia="宋体"/>
        <w:sz w:val="18"/>
        <w:szCs w:val="18"/>
      </w:rPr>
      <w:t xml:space="preserve">            </w:t>
    </w:r>
    <w:r>
      <w:rPr>
        <w:rFonts w:hint="eastAsia" w:ascii="宋体" w:hAnsi="宋体" w:eastAsia="宋体"/>
        <w:sz w:val="18"/>
        <w:szCs w:val="18"/>
        <w:lang w:eastAsia="zh-CN"/>
      </w:rPr>
      <w:t>遴选</w:t>
    </w:r>
    <w:r>
      <w:rPr>
        <w:rFonts w:hint="eastAsia" w:ascii="宋体" w:hAnsi="宋体" w:eastAsia="宋体"/>
        <w:sz w:val="18"/>
        <w:szCs w:val="18"/>
      </w:rPr>
      <w:t>文件</w:t>
    </w:r>
    <w:r>
      <w:rPr>
        <w:rFonts w:ascii="宋体" w:hAnsi="宋体" w:eastAsia="宋体"/>
        <w:sz w:val="18"/>
        <w:szCs w:val="18"/>
      </w:rPr>
      <w:t xml:space="preserve">                                                 </w:t>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6F610">
    <w:pPr>
      <w:pStyle w:val="29"/>
    </w:pPr>
    <w:r>
      <w:rPr>
        <w:rFonts w:hint="eastAsia" w:hAnsi="宋体"/>
        <w:szCs w:val="21"/>
      </w:rPr>
      <w:t>采购编号：KPCG2019-000 赤坎新区技术审查与开发咨询服务                     竞争性</w:t>
    </w:r>
    <w:r>
      <w:rPr>
        <w:rFonts w:hint="eastAsia" w:hAnsi="宋体"/>
        <w:szCs w:val="21"/>
        <w:lang w:eastAsia="zh-CN"/>
      </w:rPr>
      <w:t>遴选</w:t>
    </w:r>
    <w:r>
      <w:rPr>
        <w:rFonts w:hint="eastAsia" w:hAnsi="宋体"/>
        <w:szCs w:val="21"/>
      </w:rPr>
      <w:t>文件</w:t>
    </w:r>
  </w:p>
  <w:p w14:paraId="7377C1F7"/>
  <w:p w14:paraId="634F6C0C"/>
  <w:p w14:paraId="7B5A19E4"/>
  <w:p w14:paraId="695FB715"/>
  <w:p w14:paraId="57AB34CE"/>
  <w:p w14:paraId="3E1AFF1E"/>
  <w:p w14:paraId="4AEDC68E"/>
  <w:p w14:paraId="07E5A22F"/>
  <w:p w14:paraId="3E5B92D4"/>
  <w:p w14:paraId="74D70766"/>
  <w:p w14:paraId="765F01A7"/>
  <w:p w14:paraId="36DD6BE1"/>
  <w:p w14:paraId="555BA99F"/>
  <w:p w14:paraId="5C842B36"/>
  <w:p w14:paraId="4F5796D8"/>
  <w:p w14:paraId="4B6E10CD"/>
  <w:p w14:paraId="088DA088"/>
  <w:p w14:paraId="3EE15D5C"/>
  <w:p w14:paraId="588297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094B54"/>
    <w:multiLevelType w:val="multilevel"/>
    <w:tmpl w:val="14094B54"/>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wMTcyZDMzMzZiOTcwOTQxNjIwMWI4NzFlYTFmMzUifQ=="/>
  </w:docVars>
  <w:rsids>
    <w:rsidRoot w:val="00CA653C"/>
    <w:rsid w:val="00000764"/>
    <w:rsid w:val="00000EA3"/>
    <w:rsid w:val="00000F03"/>
    <w:rsid w:val="000011B0"/>
    <w:rsid w:val="00001B58"/>
    <w:rsid w:val="00002114"/>
    <w:rsid w:val="000029BA"/>
    <w:rsid w:val="00002EEA"/>
    <w:rsid w:val="000030E6"/>
    <w:rsid w:val="00005AAD"/>
    <w:rsid w:val="00005F70"/>
    <w:rsid w:val="00006606"/>
    <w:rsid w:val="000067BA"/>
    <w:rsid w:val="00006C36"/>
    <w:rsid w:val="00007441"/>
    <w:rsid w:val="000076ED"/>
    <w:rsid w:val="00007A26"/>
    <w:rsid w:val="0001016F"/>
    <w:rsid w:val="00010574"/>
    <w:rsid w:val="00010C8E"/>
    <w:rsid w:val="000119B6"/>
    <w:rsid w:val="00011D56"/>
    <w:rsid w:val="00011F95"/>
    <w:rsid w:val="00012116"/>
    <w:rsid w:val="00012D00"/>
    <w:rsid w:val="000136B3"/>
    <w:rsid w:val="00013C91"/>
    <w:rsid w:val="00014035"/>
    <w:rsid w:val="0001421F"/>
    <w:rsid w:val="0001433B"/>
    <w:rsid w:val="00015011"/>
    <w:rsid w:val="0001504F"/>
    <w:rsid w:val="000151D1"/>
    <w:rsid w:val="00015671"/>
    <w:rsid w:val="000160DB"/>
    <w:rsid w:val="00016A3E"/>
    <w:rsid w:val="0001704C"/>
    <w:rsid w:val="0002065F"/>
    <w:rsid w:val="000214B2"/>
    <w:rsid w:val="00021591"/>
    <w:rsid w:val="00022912"/>
    <w:rsid w:val="00022E2E"/>
    <w:rsid w:val="0002302F"/>
    <w:rsid w:val="000238C7"/>
    <w:rsid w:val="00023C27"/>
    <w:rsid w:val="00023D41"/>
    <w:rsid w:val="00023DF8"/>
    <w:rsid w:val="000241B1"/>
    <w:rsid w:val="000241E4"/>
    <w:rsid w:val="0002425D"/>
    <w:rsid w:val="00024CA9"/>
    <w:rsid w:val="00025719"/>
    <w:rsid w:val="00025A13"/>
    <w:rsid w:val="00025DA1"/>
    <w:rsid w:val="00025E8A"/>
    <w:rsid w:val="0002704C"/>
    <w:rsid w:val="00027B0C"/>
    <w:rsid w:val="00027BA3"/>
    <w:rsid w:val="00027C34"/>
    <w:rsid w:val="000307A5"/>
    <w:rsid w:val="0003083B"/>
    <w:rsid w:val="00030A6F"/>
    <w:rsid w:val="00030C72"/>
    <w:rsid w:val="00030E1D"/>
    <w:rsid w:val="00030EEE"/>
    <w:rsid w:val="000311FB"/>
    <w:rsid w:val="00031221"/>
    <w:rsid w:val="00032054"/>
    <w:rsid w:val="000322CE"/>
    <w:rsid w:val="0003239A"/>
    <w:rsid w:val="00032871"/>
    <w:rsid w:val="00032B04"/>
    <w:rsid w:val="00032C8D"/>
    <w:rsid w:val="000334CB"/>
    <w:rsid w:val="000340B6"/>
    <w:rsid w:val="000341E2"/>
    <w:rsid w:val="000344A4"/>
    <w:rsid w:val="00034C1E"/>
    <w:rsid w:val="000350F2"/>
    <w:rsid w:val="00036041"/>
    <w:rsid w:val="00036243"/>
    <w:rsid w:val="00036B65"/>
    <w:rsid w:val="000378BA"/>
    <w:rsid w:val="00037EF9"/>
    <w:rsid w:val="000401CE"/>
    <w:rsid w:val="00040FA9"/>
    <w:rsid w:val="000411F0"/>
    <w:rsid w:val="0004134F"/>
    <w:rsid w:val="0004141C"/>
    <w:rsid w:val="0004155A"/>
    <w:rsid w:val="000417EB"/>
    <w:rsid w:val="00041AB7"/>
    <w:rsid w:val="00041D0E"/>
    <w:rsid w:val="00041F91"/>
    <w:rsid w:val="000425B4"/>
    <w:rsid w:val="000428D8"/>
    <w:rsid w:val="00042D92"/>
    <w:rsid w:val="00042F9B"/>
    <w:rsid w:val="0004361E"/>
    <w:rsid w:val="0004422C"/>
    <w:rsid w:val="000445BC"/>
    <w:rsid w:val="00044B6B"/>
    <w:rsid w:val="00045C51"/>
    <w:rsid w:val="00046124"/>
    <w:rsid w:val="0004630C"/>
    <w:rsid w:val="00046E87"/>
    <w:rsid w:val="00046F8B"/>
    <w:rsid w:val="00050493"/>
    <w:rsid w:val="00050DD6"/>
    <w:rsid w:val="00050E8F"/>
    <w:rsid w:val="00050F0E"/>
    <w:rsid w:val="0005149E"/>
    <w:rsid w:val="000517AA"/>
    <w:rsid w:val="00051BCA"/>
    <w:rsid w:val="000526BB"/>
    <w:rsid w:val="000535A2"/>
    <w:rsid w:val="000536D2"/>
    <w:rsid w:val="00053DA5"/>
    <w:rsid w:val="00054741"/>
    <w:rsid w:val="000547CF"/>
    <w:rsid w:val="00054A6B"/>
    <w:rsid w:val="00055869"/>
    <w:rsid w:val="00055E1B"/>
    <w:rsid w:val="000562DE"/>
    <w:rsid w:val="000562EB"/>
    <w:rsid w:val="000564B6"/>
    <w:rsid w:val="00056C56"/>
    <w:rsid w:val="00060189"/>
    <w:rsid w:val="0006052B"/>
    <w:rsid w:val="000608A6"/>
    <w:rsid w:val="00060983"/>
    <w:rsid w:val="00060CF4"/>
    <w:rsid w:val="00061077"/>
    <w:rsid w:val="00062153"/>
    <w:rsid w:val="00062658"/>
    <w:rsid w:val="0006345F"/>
    <w:rsid w:val="00063CFC"/>
    <w:rsid w:val="000644DA"/>
    <w:rsid w:val="00064D1C"/>
    <w:rsid w:val="00065C95"/>
    <w:rsid w:val="00066109"/>
    <w:rsid w:val="00066BFA"/>
    <w:rsid w:val="0007044B"/>
    <w:rsid w:val="00070EAC"/>
    <w:rsid w:val="00070F3D"/>
    <w:rsid w:val="00071691"/>
    <w:rsid w:val="00071731"/>
    <w:rsid w:val="00071F04"/>
    <w:rsid w:val="000720B6"/>
    <w:rsid w:val="00072752"/>
    <w:rsid w:val="00072979"/>
    <w:rsid w:val="00072EA8"/>
    <w:rsid w:val="000732D4"/>
    <w:rsid w:val="000734CE"/>
    <w:rsid w:val="00073598"/>
    <w:rsid w:val="00073901"/>
    <w:rsid w:val="000745E4"/>
    <w:rsid w:val="000747D5"/>
    <w:rsid w:val="00074955"/>
    <w:rsid w:val="00074957"/>
    <w:rsid w:val="0007556B"/>
    <w:rsid w:val="000758D0"/>
    <w:rsid w:val="00075B8D"/>
    <w:rsid w:val="00076C27"/>
    <w:rsid w:val="00077C4C"/>
    <w:rsid w:val="00077CE8"/>
    <w:rsid w:val="00077FA4"/>
    <w:rsid w:val="00080612"/>
    <w:rsid w:val="000807EE"/>
    <w:rsid w:val="000808A2"/>
    <w:rsid w:val="00083BFD"/>
    <w:rsid w:val="00083C69"/>
    <w:rsid w:val="00083CB6"/>
    <w:rsid w:val="00083E86"/>
    <w:rsid w:val="000841A0"/>
    <w:rsid w:val="00084B9F"/>
    <w:rsid w:val="000850BC"/>
    <w:rsid w:val="0008579C"/>
    <w:rsid w:val="00086E1B"/>
    <w:rsid w:val="000871E7"/>
    <w:rsid w:val="000879E2"/>
    <w:rsid w:val="00087C03"/>
    <w:rsid w:val="000907A8"/>
    <w:rsid w:val="00090BCB"/>
    <w:rsid w:val="00090EB1"/>
    <w:rsid w:val="00091E72"/>
    <w:rsid w:val="00092738"/>
    <w:rsid w:val="0009279E"/>
    <w:rsid w:val="00092EC9"/>
    <w:rsid w:val="00093F7D"/>
    <w:rsid w:val="00093F93"/>
    <w:rsid w:val="00094939"/>
    <w:rsid w:val="00094BC3"/>
    <w:rsid w:val="00094DA8"/>
    <w:rsid w:val="00094E1A"/>
    <w:rsid w:val="00095926"/>
    <w:rsid w:val="000961A5"/>
    <w:rsid w:val="00096A74"/>
    <w:rsid w:val="00096BE2"/>
    <w:rsid w:val="00096F3E"/>
    <w:rsid w:val="0009744D"/>
    <w:rsid w:val="00097DBF"/>
    <w:rsid w:val="000A00E7"/>
    <w:rsid w:val="000A01A9"/>
    <w:rsid w:val="000A1686"/>
    <w:rsid w:val="000A1822"/>
    <w:rsid w:val="000A1C78"/>
    <w:rsid w:val="000A1E5C"/>
    <w:rsid w:val="000A2937"/>
    <w:rsid w:val="000A2A5C"/>
    <w:rsid w:val="000A2B2B"/>
    <w:rsid w:val="000A2E9E"/>
    <w:rsid w:val="000A2FED"/>
    <w:rsid w:val="000A312C"/>
    <w:rsid w:val="000A3FD9"/>
    <w:rsid w:val="000A4050"/>
    <w:rsid w:val="000A4259"/>
    <w:rsid w:val="000A4A34"/>
    <w:rsid w:val="000A53AE"/>
    <w:rsid w:val="000A587E"/>
    <w:rsid w:val="000A5A0C"/>
    <w:rsid w:val="000A61BB"/>
    <w:rsid w:val="000A6E36"/>
    <w:rsid w:val="000A6F47"/>
    <w:rsid w:val="000A7162"/>
    <w:rsid w:val="000A73BA"/>
    <w:rsid w:val="000A772E"/>
    <w:rsid w:val="000B0917"/>
    <w:rsid w:val="000B0A1D"/>
    <w:rsid w:val="000B0FE2"/>
    <w:rsid w:val="000B127D"/>
    <w:rsid w:val="000B1826"/>
    <w:rsid w:val="000B1AE1"/>
    <w:rsid w:val="000B1D27"/>
    <w:rsid w:val="000B215C"/>
    <w:rsid w:val="000B3451"/>
    <w:rsid w:val="000B3DDF"/>
    <w:rsid w:val="000B402F"/>
    <w:rsid w:val="000B4582"/>
    <w:rsid w:val="000B4949"/>
    <w:rsid w:val="000B49F5"/>
    <w:rsid w:val="000B4EAE"/>
    <w:rsid w:val="000B5013"/>
    <w:rsid w:val="000B5BAB"/>
    <w:rsid w:val="000B6289"/>
    <w:rsid w:val="000B689D"/>
    <w:rsid w:val="000C0626"/>
    <w:rsid w:val="000C0B07"/>
    <w:rsid w:val="000C0E3A"/>
    <w:rsid w:val="000C1CD1"/>
    <w:rsid w:val="000C1DC0"/>
    <w:rsid w:val="000C239D"/>
    <w:rsid w:val="000C2552"/>
    <w:rsid w:val="000C277B"/>
    <w:rsid w:val="000C3772"/>
    <w:rsid w:val="000C40D3"/>
    <w:rsid w:val="000C42F3"/>
    <w:rsid w:val="000C4B5F"/>
    <w:rsid w:val="000C6137"/>
    <w:rsid w:val="000C6B0E"/>
    <w:rsid w:val="000C6B59"/>
    <w:rsid w:val="000C734A"/>
    <w:rsid w:val="000C7A41"/>
    <w:rsid w:val="000C7BFE"/>
    <w:rsid w:val="000C7D7F"/>
    <w:rsid w:val="000C7FA3"/>
    <w:rsid w:val="000D0BD0"/>
    <w:rsid w:val="000D0DDD"/>
    <w:rsid w:val="000D1AE4"/>
    <w:rsid w:val="000D1B28"/>
    <w:rsid w:val="000D2CA9"/>
    <w:rsid w:val="000D2E56"/>
    <w:rsid w:val="000D371E"/>
    <w:rsid w:val="000D385F"/>
    <w:rsid w:val="000D3F81"/>
    <w:rsid w:val="000D43E6"/>
    <w:rsid w:val="000D479E"/>
    <w:rsid w:val="000D481F"/>
    <w:rsid w:val="000D4994"/>
    <w:rsid w:val="000D49A4"/>
    <w:rsid w:val="000D5C9F"/>
    <w:rsid w:val="000D5D38"/>
    <w:rsid w:val="000D6029"/>
    <w:rsid w:val="000D60F3"/>
    <w:rsid w:val="000D61C5"/>
    <w:rsid w:val="000D6339"/>
    <w:rsid w:val="000D679A"/>
    <w:rsid w:val="000D6B57"/>
    <w:rsid w:val="000D6F36"/>
    <w:rsid w:val="000D7258"/>
    <w:rsid w:val="000D751B"/>
    <w:rsid w:val="000D75EE"/>
    <w:rsid w:val="000D7772"/>
    <w:rsid w:val="000D7B49"/>
    <w:rsid w:val="000D7CD2"/>
    <w:rsid w:val="000E0340"/>
    <w:rsid w:val="000E0E7B"/>
    <w:rsid w:val="000E1A4E"/>
    <w:rsid w:val="000E1ADA"/>
    <w:rsid w:val="000E2190"/>
    <w:rsid w:val="000E292F"/>
    <w:rsid w:val="000E2D16"/>
    <w:rsid w:val="000E2EF9"/>
    <w:rsid w:val="000E466A"/>
    <w:rsid w:val="000E4E20"/>
    <w:rsid w:val="000E4E8E"/>
    <w:rsid w:val="000E5028"/>
    <w:rsid w:val="000E550D"/>
    <w:rsid w:val="000E5A39"/>
    <w:rsid w:val="000E5CC4"/>
    <w:rsid w:val="000E5EF7"/>
    <w:rsid w:val="000E60F7"/>
    <w:rsid w:val="000F068D"/>
    <w:rsid w:val="000F0901"/>
    <w:rsid w:val="000F1963"/>
    <w:rsid w:val="000F1F17"/>
    <w:rsid w:val="000F2820"/>
    <w:rsid w:val="000F32F1"/>
    <w:rsid w:val="000F38A8"/>
    <w:rsid w:val="000F40AC"/>
    <w:rsid w:val="000F4456"/>
    <w:rsid w:val="000F44F6"/>
    <w:rsid w:val="000F5262"/>
    <w:rsid w:val="000F56B0"/>
    <w:rsid w:val="000F5832"/>
    <w:rsid w:val="000F5E35"/>
    <w:rsid w:val="000F6EF6"/>
    <w:rsid w:val="000F7789"/>
    <w:rsid w:val="000F7D01"/>
    <w:rsid w:val="0010004D"/>
    <w:rsid w:val="0010029C"/>
    <w:rsid w:val="00100D94"/>
    <w:rsid w:val="00101BA0"/>
    <w:rsid w:val="00101EE3"/>
    <w:rsid w:val="00102A2E"/>
    <w:rsid w:val="00102CAC"/>
    <w:rsid w:val="00103BC5"/>
    <w:rsid w:val="00103EC9"/>
    <w:rsid w:val="001046CF"/>
    <w:rsid w:val="001048FF"/>
    <w:rsid w:val="00104B0D"/>
    <w:rsid w:val="00104F7D"/>
    <w:rsid w:val="00104FA9"/>
    <w:rsid w:val="001052D8"/>
    <w:rsid w:val="0010551A"/>
    <w:rsid w:val="00105B00"/>
    <w:rsid w:val="00105F5B"/>
    <w:rsid w:val="001064E6"/>
    <w:rsid w:val="0010660F"/>
    <w:rsid w:val="00106C89"/>
    <w:rsid w:val="00107E22"/>
    <w:rsid w:val="00107F17"/>
    <w:rsid w:val="00110408"/>
    <w:rsid w:val="00111013"/>
    <w:rsid w:val="00111AD8"/>
    <w:rsid w:val="00111E99"/>
    <w:rsid w:val="001121A6"/>
    <w:rsid w:val="0011242E"/>
    <w:rsid w:val="00112BBF"/>
    <w:rsid w:val="00112DA9"/>
    <w:rsid w:val="001131B4"/>
    <w:rsid w:val="00113C0B"/>
    <w:rsid w:val="00113EC7"/>
    <w:rsid w:val="00113EE5"/>
    <w:rsid w:val="00113F8D"/>
    <w:rsid w:val="001143EA"/>
    <w:rsid w:val="0011455D"/>
    <w:rsid w:val="00114D50"/>
    <w:rsid w:val="00115A85"/>
    <w:rsid w:val="00116EC6"/>
    <w:rsid w:val="00120207"/>
    <w:rsid w:val="00120DC9"/>
    <w:rsid w:val="00121B8B"/>
    <w:rsid w:val="00121FBF"/>
    <w:rsid w:val="00121FEB"/>
    <w:rsid w:val="00122285"/>
    <w:rsid w:val="001227AC"/>
    <w:rsid w:val="00122B1E"/>
    <w:rsid w:val="00122B79"/>
    <w:rsid w:val="00122DB6"/>
    <w:rsid w:val="0012385D"/>
    <w:rsid w:val="00123968"/>
    <w:rsid w:val="00123ABA"/>
    <w:rsid w:val="00124361"/>
    <w:rsid w:val="00124EBB"/>
    <w:rsid w:val="001258FD"/>
    <w:rsid w:val="00126221"/>
    <w:rsid w:val="0012644A"/>
    <w:rsid w:val="001265D4"/>
    <w:rsid w:val="001305DE"/>
    <w:rsid w:val="00130AFD"/>
    <w:rsid w:val="00130EDF"/>
    <w:rsid w:val="0013109C"/>
    <w:rsid w:val="0013140C"/>
    <w:rsid w:val="0013166A"/>
    <w:rsid w:val="00131C7E"/>
    <w:rsid w:val="001321A0"/>
    <w:rsid w:val="00132212"/>
    <w:rsid w:val="00132296"/>
    <w:rsid w:val="00132AC6"/>
    <w:rsid w:val="00132BAC"/>
    <w:rsid w:val="00133121"/>
    <w:rsid w:val="0013327E"/>
    <w:rsid w:val="00134386"/>
    <w:rsid w:val="001347FE"/>
    <w:rsid w:val="00135F30"/>
    <w:rsid w:val="001361B3"/>
    <w:rsid w:val="00136329"/>
    <w:rsid w:val="001363DF"/>
    <w:rsid w:val="001365B0"/>
    <w:rsid w:val="00136A75"/>
    <w:rsid w:val="00136DA8"/>
    <w:rsid w:val="00137A9D"/>
    <w:rsid w:val="00140926"/>
    <w:rsid w:val="00140F23"/>
    <w:rsid w:val="0014111D"/>
    <w:rsid w:val="001413CA"/>
    <w:rsid w:val="00141626"/>
    <w:rsid w:val="001427A1"/>
    <w:rsid w:val="00142DB7"/>
    <w:rsid w:val="00143137"/>
    <w:rsid w:val="0014372E"/>
    <w:rsid w:val="0014392D"/>
    <w:rsid w:val="0014392F"/>
    <w:rsid w:val="00143938"/>
    <w:rsid w:val="00144060"/>
    <w:rsid w:val="0014490D"/>
    <w:rsid w:val="00144B1C"/>
    <w:rsid w:val="001452FE"/>
    <w:rsid w:val="0014567E"/>
    <w:rsid w:val="00145821"/>
    <w:rsid w:val="001459D0"/>
    <w:rsid w:val="001464C4"/>
    <w:rsid w:val="0014650F"/>
    <w:rsid w:val="0014750F"/>
    <w:rsid w:val="00147552"/>
    <w:rsid w:val="001475AD"/>
    <w:rsid w:val="00147D4B"/>
    <w:rsid w:val="001500F7"/>
    <w:rsid w:val="001502F5"/>
    <w:rsid w:val="00150C88"/>
    <w:rsid w:val="00150E41"/>
    <w:rsid w:val="00150F59"/>
    <w:rsid w:val="0015140B"/>
    <w:rsid w:val="00151A2D"/>
    <w:rsid w:val="00153942"/>
    <w:rsid w:val="00154099"/>
    <w:rsid w:val="00154C28"/>
    <w:rsid w:val="00155DEF"/>
    <w:rsid w:val="00155F0D"/>
    <w:rsid w:val="001562F7"/>
    <w:rsid w:val="00160511"/>
    <w:rsid w:val="00161080"/>
    <w:rsid w:val="00161306"/>
    <w:rsid w:val="001613C5"/>
    <w:rsid w:val="0016148D"/>
    <w:rsid w:val="00161C89"/>
    <w:rsid w:val="00161F7F"/>
    <w:rsid w:val="00162A45"/>
    <w:rsid w:val="00162CA9"/>
    <w:rsid w:val="001638BE"/>
    <w:rsid w:val="0016420A"/>
    <w:rsid w:val="00164A0B"/>
    <w:rsid w:val="00164BF9"/>
    <w:rsid w:val="00165386"/>
    <w:rsid w:val="001657BA"/>
    <w:rsid w:val="00165911"/>
    <w:rsid w:val="00165AA6"/>
    <w:rsid w:val="00165C8E"/>
    <w:rsid w:val="00166A53"/>
    <w:rsid w:val="001673D6"/>
    <w:rsid w:val="0016794C"/>
    <w:rsid w:val="00167B51"/>
    <w:rsid w:val="00167BCB"/>
    <w:rsid w:val="00170049"/>
    <w:rsid w:val="0017022B"/>
    <w:rsid w:val="001702D4"/>
    <w:rsid w:val="0017046B"/>
    <w:rsid w:val="00170478"/>
    <w:rsid w:val="001705D1"/>
    <w:rsid w:val="00170EDA"/>
    <w:rsid w:val="00171873"/>
    <w:rsid w:val="00171C5C"/>
    <w:rsid w:val="00171F39"/>
    <w:rsid w:val="00171F3F"/>
    <w:rsid w:val="001723E8"/>
    <w:rsid w:val="00172890"/>
    <w:rsid w:val="001729C2"/>
    <w:rsid w:val="00172A0F"/>
    <w:rsid w:val="00172B6E"/>
    <w:rsid w:val="00172BBC"/>
    <w:rsid w:val="00172BC8"/>
    <w:rsid w:val="00173AEB"/>
    <w:rsid w:val="00173BC0"/>
    <w:rsid w:val="0017486D"/>
    <w:rsid w:val="001749B6"/>
    <w:rsid w:val="00175553"/>
    <w:rsid w:val="001755EA"/>
    <w:rsid w:val="001761E0"/>
    <w:rsid w:val="001769F2"/>
    <w:rsid w:val="00176A9E"/>
    <w:rsid w:val="00176B60"/>
    <w:rsid w:val="00176C31"/>
    <w:rsid w:val="00176DBA"/>
    <w:rsid w:val="0017768E"/>
    <w:rsid w:val="00177A9F"/>
    <w:rsid w:val="0018068A"/>
    <w:rsid w:val="00181021"/>
    <w:rsid w:val="00181035"/>
    <w:rsid w:val="0018126D"/>
    <w:rsid w:val="00181584"/>
    <w:rsid w:val="00181888"/>
    <w:rsid w:val="00181A33"/>
    <w:rsid w:val="00183281"/>
    <w:rsid w:val="001832B7"/>
    <w:rsid w:val="001835BC"/>
    <w:rsid w:val="0018409F"/>
    <w:rsid w:val="001843C6"/>
    <w:rsid w:val="001846A6"/>
    <w:rsid w:val="001849A8"/>
    <w:rsid w:val="00185DE6"/>
    <w:rsid w:val="00185F71"/>
    <w:rsid w:val="0018684E"/>
    <w:rsid w:val="00186CC0"/>
    <w:rsid w:val="00187178"/>
    <w:rsid w:val="0018732B"/>
    <w:rsid w:val="0018744D"/>
    <w:rsid w:val="0018749E"/>
    <w:rsid w:val="00187A35"/>
    <w:rsid w:val="00187FD8"/>
    <w:rsid w:val="00190A95"/>
    <w:rsid w:val="00190E7F"/>
    <w:rsid w:val="00191301"/>
    <w:rsid w:val="00191628"/>
    <w:rsid w:val="0019184C"/>
    <w:rsid w:val="00191A2B"/>
    <w:rsid w:val="00191CCF"/>
    <w:rsid w:val="00192D3D"/>
    <w:rsid w:val="00193199"/>
    <w:rsid w:val="00193590"/>
    <w:rsid w:val="0019416B"/>
    <w:rsid w:val="00194BBA"/>
    <w:rsid w:val="00194CB8"/>
    <w:rsid w:val="00194CD0"/>
    <w:rsid w:val="00194F3F"/>
    <w:rsid w:val="001952B2"/>
    <w:rsid w:val="0019536F"/>
    <w:rsid w:val="001958CA"/>
    <w:rsid w:val="001962E3"/>
    <w:rsid w:val="00196FC6"/>
    <w:rsid w:val="0019781F"/>
    <w:rsid w:val="00197D3C"/>
    <w:rsid w:val="001A0120"/>
    <w:rsid w:val="001A06A7"/>
    <w:rsid w:val="001A15F2"/>
    <w:rsid w:val="001A1925"/>
    <w:rsid w:val="001A1B2C"/>
    <w:rsid w:val="001A2474"/>
    <w:rsid w:val="001A2F6D"/>
    <w:rsid w:val="001A30C6"/>
    <w:rsid w:val="001A3A18"/>
    <w:rsid w:val="001A41A0"/>
    <w:rsid w:val="001A47B0"/>
    <w:rsid w:val="001A497E"/>
    <w:rsid w:val="001A4AF6"/>
    <w:rsid w:val="001A4F65"/>
    <w:rsid w:val="001A539F"/>
    <w:rsid w:val="001A5E38"/>
    <w:rsid w:val="001A5FC0"/>
    <w:rsid w:val="001A60B2"/>
    <w:rsid w:val="001A717C"/>
    <w:rsid w:val="001A7924"/>
    <w:rsid w:val="001A7A5B"/>
    <w:rsid w:val="001A7BDE"/>
    <w:rsid w:val="001B0055"/>
    <w:rsid w:val="001B0472"/>
    <w:rsid w:val="001B04D6"/>
    <w:rsid w:val="001B0F1E"/>
    <w:rsid w:val="001B101B"/>
    <w:rsid w:val="001B1539"/>
    <w:rsid w:val="001B1A3F"/>
    <w:rsid w:val="001B1B9A"/>
    <w:rsid w:val="001B1F45"/>
    <w:rsid w:val="001B255C"/>
    <w:rsid w:val="001B25FF"/>
    <w:rsid w:val="001B2CFB"/>
    <w:rsid w:val="001B2E2C"/>
    <w:rsid w:val="001B38FF"/>
    <w:rsid w:val="001B3C1A"/>
    <w:rsid w:val="001B402B"/>
    <w:rsid w:val="001B4277"/>
    <w:rsid w:val="001B50B1"/>
    <w:rsid w:val="001B527F"/>
    <w:rsid w:val="001B52E8"/>
    <w:rsid w:val="001B556B"/>
    <w:rsid w:val="001B6CE7"/>
    <w:rsid w:val="001B7103"/>
    <w:rsid w:val="001B717E"/>
    <w:rsid w:val="001B7DBA"/>
    <w:rsid w:val="001C0D44"/>
    <w:rsid w:val="001C1146"/>
    <w:rsid w:val="001C14A4"/>
    <w:rsid w:val="001C1D13"/>
    <w:rsid w:val="001C20E0"/>
    <w:rsid w:val="001C287F"/>
    <w:rsid w:val="001C397A"/>
    <w:rsid w:val="001C3BD1"/>
    <w:rsid w:val="001C45E2"/>
    <w:rsid w:val="001C4993"/>
    <w:rsid w:val="001C4A6B"/>
    <w:rsid w:val="001C5499"/>
    <w:rsid w:val="001C58C0"/>
    <w:rsid w:val="001C5CF2"/>
    <w:rsid w:val="001C6505"/>
    <w:rsid w:val="001C657E"/>
    <w:rsid w:val="001C6595"/>
    <w:rsid w:val="001C664F"/>
    <w:rsid w:val="001C6710"/>
    <w:rsid w:val="001C7342"/>
    <w:rsid w:val="001C753C"/>
    <w:rsid w:val="001D0393"/>
    <w:rsid w:val="001D047B"/>
    <w:rsid w:val="001D0980"/>
    <w:rsid w:val="001D0DD5"/>
    <w:rsid w:val="001D0E8E"/>
    <w:rsid w:val="001D0EBA"/>
    <w:rsid w:val="001D0F33"/>
    <w:rsid w:val="001D0FAC"/>
    <w:rsid w:val="001D15BA"/>
    <w:rsid w:val="001D1F34"/>
    <w:rsid w:val="001D245B"/>
    <w:rsid w:val="001D255C"/>
    <w:rsid w:val="001D281D"/>
    <w:rsid w:val="001D2988"/>
    <w:rsid w:val="001D2EA9"/>
    <w:rsid w:val="001D3300"/>
    <w:rsid w:val="001D3AA2"/>
    <w:rsid w:val="001D4018"/>
    <w:rsid w:val="001D4795"/>
    <w:rsid w:val="001D4937"/>
    <w:rsid w:val="001D572D"/>
    <w:rsid w:val="001D6535"/>
    <w:rsid w:val="001D7137"/>
    <w:rsid w:val="001D7B0E"/>
    <w:rsid w:val="001D7C18"/>
    <w:rsid w:val="001D7ED5"/>
    <w:rsid w:val="001E0302"/>
    <w:rsid w:val="001E065E"/>
    <w:rsid w:val="001E0D5F"/>
    <w:rsid w:val="001E0DD9"/>
    <w:rsid w:val="001E0FE5"/>
    <w:rsid w:val="001E1CDC"/>
    <w:rsid w:val="001E1E72"/>
    <w:rsid w:val="001E24F3"/>
    <w:rsid w:val="001E2CEA"/>
    <w:rsid w:val="001E3003"/>
    <w:rsid w:val="001E3005"/>
    <w:rsid w:val="001E348C"/>
    <w:rsid w:val="001E38A0"/>
    <w:rsid w:val="001E44B8"/>
    <w:rsid w:val="001E5196"/>
    <w:rsid w:val="001E5216"/>
    <w:rsid w:val="001E5956"/>
    <w:rsid w:val="001E659F"/>
    <w:rsid w:val="001E65E5"/>
    <w:rsid w:val="001E68C6"/>
    <w:rsid w:val="001E6F60"/>
    <w:rsid w:val="001E7423"/>
    <w:rsid w:val="001E7542"/>
    <w:rsid w:val="001E7667"/>
    <w:rsid w:val="001E76E9"/>
    <w:rsid w:val="001E7C61"/>
    <w:rsid w:val="001E7EBB"/>
    <w:rsid w:val="001F034F"/>
    <w:rsid w:val="001F09E8"/>
    <w:rsid w:val="001F0DFF"/>
    <w:rsid w:val="001F1025"/>
    <w:rsid w:val="001F10F3"/>
    <w:rsid w:val="001F1545"/>
    <w:rsid w:val="001F1616"/>
    <w:rsid w:val="001F16F8"/>
    <w:rsid w:val="001F1CBA"/>
    <w:rsid w:val="001F2C81"/>
    <w:rsid w:val="001F2E96"/>
    <w:rsid w:val="001F3376"/>
    <w:rsid w:val="001F3460"/>
    <w:rsid w:val="001F4000"/>
    <w:rsid w:val="001F4363"/>
    <w:rsid w:val="001F45BA"/>
    <w:rsid w:val="001F4A4F"/>
    <w:rsid w:val="001F4AA9"/>
    <w:rsid w:val="001F5999"/>
    <w:rsid w:val="001F6739"/>
    <w:rsid w:val="001F6853"/>
    <w:rsid w:val="001F73BD"/>
    <w:rsid w:val="001F789D"/>
    <w:rsid w:val="00200079"/>
    <w:rsid w:val="0020069D"/>
    <w:rsid w:val="00200A42"/>
    <w:rsid w:val="00200B08"/>
    <w:rsid w:val="00200D62"/>
    <w:rsid w:val="002012DB"/>
    <w:rsid w:val="002012E5"/>
    <w:rsid w:val="00201394"/>
    <w:rsid w:val="00201639"/>
    <w:rsid w:val="00201A0C"/>
    <w:rsid w:val="00201EC8"/>
    <w:rsid w:val="002025EE"/>
    <w:rsid w:val="002029BA"/>
    <w:rsid w:val="00202EEC"/>
    <w:rsid w:val="00202FFD"/>
    <w:rsid w:val="00203207"/>
    <w:rsid w:val="002032C8"/>
    <w:rsid w:val="002033B7"/>
    <w:rsid w:val="00203402"/>
    <w:rsid w:val="00203524"/>
    <w:rsid w:val="002035A2"/>
    <w:rsid w:val="002035E2"/>
    <w:rsid w:val="002039A6"/>
    <w:rsid w:val="0020416A"/>
    <w:rsid w:val="00206114"/>
    <w:rsid w:val="00206A9E"/>
    <w:rsid w:val="00206B90"/>
    <w:rsid w:val="00207370"/>
    <w:rsid w:val="00207B1F"/>
    <w:rsid w:val="00207C8D"/>
    <w:rsid w:val="00210BC5"/>
    <w:rsid w:val="00210D1E"/>
    <w:rsid w:val="00211B71"/>
    <w:rsid w:val="00211BA3"/>
    <w:rsid w:val="002122BE"/>
    <w:rsid w:val="002123B0"/>
    <w:rsid w:val="0021265B"/>
    <w:rsid w:val="00212721"/>
    <w:rsid w:val="00212AC5"/>
    <w:rsid w:val="00212FF8"/>
    <w:rsid w:val="00213178"/>
    <w:rsid w:val="00213917"/>
    <w:rsid w:val="00213DD5"/>
    <w:rsid w:val="00213E4E"/>
    <w:rsid w:val="00214352"/>
    <w:rsid w:val="002148E2"/>
    <w:rsid w:val="002156F4"/>
    <w:rsid w:val="00215A73"/>
    <w:rsid w:val="00215AC6"/>
    <w:rsid w:val="00216218"/>
    <w:rsid w:val="00216372"/>
    <w:rsid w:val="00216FA3"/>
    <w:rsid w:val="00217129"/>
    <w:rsid w:val="002171E1"/>
    <w:rsid w:val="002175CA"/>
    <w:rsid w:val="0021765D"/>
    <w:rsid w:val="00217867"/>
    <w:rsid w:val="002200E5"/>
    <w:rsid w:val="0022015D"/>
    <w:rsid w:val="0022023F"/>
    <w:rsid w:val="002208EF"/>
    <w:rsid w:val="0022122C"/>
    <w:rsid w:val="00221B0B"/>
    <w:rsid w:val="00222476"/>
    <w:rsid w:val="00222498"/>
    <w:rsid w:val="0022295B"/>
    <w:rsid w:val="0022315C"/>
    <w:rsid w:val="00223270"/>
    <w:rsid w:val="002239ED"/>
    <w:rsid w:val="002242F7"/>
    <w:rsid w:val="00224527"/>
    <w:rsid w:val="002251AB"/>
    <w:rsid w:val="00225D0F"/>
    <w:rsid w:val="00225F24"/>
    <w:rsid w:val="0022616D"/>
    <w:rsid w:val="0022638A"/>
    <w:rsid w:val="00226517"/>
    <w:rsid w:val="002278FD"/>
    <w:rsid w:val="00227C6E"/>
    <w:rsid w:val="00230301"/>
    <w:rsid w:val="00230941"/>
    <w:rsid w:val="00230DB1"/>
    <w:rsid w:val="00230FAF"/>
    <w:rsid w:val="00232038"/>
    <w:rsid w:val="00232761"/>
    <w:rsid w:val="00232D20"/>
    <w:rsid w:val="0023341B"/>
    <w:rsid w:val="002339AF"/>
    <w:rsid w:val="00234755"/>
    <w:rsid w:val="00235400"/>
    <w:rsid w:val="00235758"/>
    <w:rsid w:val="0023581F"/>
    <w:rsid w:val="00236185"/>
    <w:rsid w:val="00236991"/>
    <w:rsid w:val="00236EE4"/>
    <w:rsid w:val="00237123"/>
    <w:rsid w:val="00237304"/>
    <w:rsid w:val="002378D7"/>
    <w:rsid w:val="00237C6F"/>
    <w:rsid w:val="00237F88"/>
    <w:rsid w:val="00240143"/>
    <w:rsid w:val="00240F64"/>
    <w:rsid w:val="00241240"/>
    <w:rsid w:val="002413BB"/>
    <w:rsid w:val="002416DC"/>
    <w:rsid w:val="002416EC"/>
    <w:rsid w:val="00241A18"/>
    <w:rsid w:val="0024293C"/>
    <w:rsid w:val="00242E29"/>
    <w:rsid w:val="00242F07"/>
    <w:rsid w:val="0024355B"/>
    <w:rsid w:val="00243A52"/>
    <w:rsid w:val="00243AD2"/>
    <w:rsid w:val="002449A0"/>
    <w:rsid w:val="00246342"/>
    <w:rsid w:val="002463EE"/>
    <w:rsid w:val="00246C26"/>
    <w:rsid w:val="0024702D"/>
    <w:rsid w:val="00247612"/>
    <w:rsid w:val="002477EA"/>
    <w:rsid w:val="00247B59"/>
    <w:rsid w:val="0025002D"/>
    <w:rsid w:val="002500AA"/>
    <w:rsid w:val="00250CE5"/>
    <w:rsid w:val="00250ECF"/>
    <w:rsid w:val="00251501"/>
    <w:rsid w:val="00251ADD"/>
    <w:rsid w:val="002528A4"/>
    <w:rsid w:val="00252AE9"/>
    <w:rsid w:val="00253A66"/>
    <w:rsid w:val="00253E2E"/>
    <w:rsid w:val="00253E50"/>
    <w:rsid w:val="00253F2E"/>
    <w:rsid w:val="002547D7"/>
    <w:rsid w:val="00254DC3"/>
    <w:rsid w:val="00255EF3"/>
    <w:rsid w:val="0025663E"/>
    <w:rsid w:val="00257640"/>
    <w:rsid w:val="00257A10"/>
    <w:rsid w:val="0026068E"/>
    <w:rsid w:val="0026093D"/>
    <w:rsid w:val="00260C02"/>
    <w:rsid w:val="00260D02"/>
    <w:rsid w:val="002614BB"/>
    <w:rsid w:val="0026217D"/>
    <w:rsid w:val="00262989"/>
    <w:rsid w:val="00262E3D"/>
    <w:rsid w:val="00263B65"/>
    <w:rsid w:val="00263C39"/>
    <w:rsid w:val="00263C90"/>
    <w:rsid w:val="00263E30"/>
    <w:rsid w:val="002649DA"/>
    <w:rsid w:val="00264CEB"/>
    <w:rsid w:val="00265F44"/>
    <w:rsid w:val="0026606D"/>
    <w:rsid w:val="00266DDE"/>
    <w:rsid w:val="0026703B"/>
    <w:rsid w:val="00267B3C"/>
    <w:rsid w:val="00270B1A"/>
    <w:rsid w:val="00270BA2"/>
    <w:rsid w:val="0027106C"/>
    <w:rsid w:val="002717AB"/>
    <w:rsid w:val="00271E39"/>
    <w:rsid w:val="00272708"/>
    <w:rsid w:val="00273815"/>
    <w:rsid w:val="00273955"/>
    <w:rsid w:val="00274342"/>
    <w:rsid w:val="002743D1"/>
    <w:rsid w:val="00274406"/>
    <w:rsid w:val="00274A09"/>
    <w:rsid w:val="0027532E"/>
    <w:rsid w:val="00275C76"/>
    <w:rsid w:val="00275E0C"/>
    <w:rsid w:val="00276682"/>
    <w:rsid w:val="00276A07"/>
    <w:rsid w:val="0027724E"/>
    <w:rsid w:val="002773D2"/>
    <w:rsid w:val="00277E17"/>
    <w:rsid w:val="002801E1"/>
    <w:rsid w:val="00280306"/>
    <w:rsid w:val="00280914"/>
    <w:rsid w:val="00280DDE"/>
    <w:rsid w:val="00280EE8"/>
    <w:rsid w:val="002811DA"/>
    <w:rsid w:val="0028157A"/>
    <w:rsid w:val="00281F01"/>
    <w:rsid w:val="0028204A"/>
    <w:rsid w:val="00282132"/>
    <w:rsid w:val="00282E9C"/>
    <w:rsid w:val="00283766"/>
    <w:rsid w:val="00283B39"/>
    <w:rsid w:val="00284138"/>
    <w:rsid w:val="002842DB"/>
    <w:rsid w:val="002843B9"/>
    <w:rsid w:val="002847BE"/>
    <w:rsid w:val="00284A50"/>
    <w:rsid w:val="00284CB7"/>
    <w:rsid w:val="002853E0"/>
    <w:rsid w:val="00285551"/>
    <w:rsid w:val="00285894"/>
    <w:rsid w:val="00286920"/>
    <w:rsid w:val="00286A47"/>
    <w:rsid w:val="0028708A"/>
    <w:rsid w:val="0028744A"/>
    <w:rsid w:val="0028752E"/>
    <w:rsid w:val="00287A04"/>
    <w:rsid w:val="00287B64"/>
    <w:rsid w:val="00290010"/>
    <w:rsid w:val="00290154"/>
    <w:rsid w:val="00290359"/>
    <w:rsid w:val="00290D25"/>
    <w:rsid w:val="002910AD"/>
    <w:rsid w:val="0029148E"/>
    <w:rsid w:val="00291808"/>
    <w:rsid w:val="00292C99"/>
    <w:rsid w:val="00292CC9"/>
    <w:rsid w:val="00292D33"/>
    <w:rsid w:val="0029441D"/>
    <w:rsid w:val="002947A9"/>
    <w:rsid w:val="002951D6"/>
    <w:rsid w:val="00296472"/>
    <w:rsid w:val="00297331"/>
    <w:rsid w:val="0029790A"/>
    <w:rsid w:val="00297B3F"/>
    <w:rsid w:val="00297C79"/>
    <w:rsid w:val="00297FE2"/>
    <w:rsid w:val="002A002D"/>
    <w:rsid w:val="002A0154"/>
    <w:rsid w:val="002A0199"/>
    <w:rsid w:val="002A05D3"/>
    <w:rsid w:val="002A0F3C"/>
    <w:rsid w:val="002A239A"/>
    <w:rsid w:val="002A2AAD"/>
    <w:rsid w:val="002A2BEF"/>
    <w:rsid w:val="002A2F4F"/>
    <w:rsid w:val="002A2FCC"/>
    <w:rsid w:val="002A34F3"/>
    <w:rsid w:val="002A354B"/>
    <w:rsid w:val="002A3ED5"/>
    <w:rsid w:val="002A4020"/>
    <w:rsid w:val="002A4166"/>
    <w:rsid w:val="002A4920"/>
    <w:rsid w:val="002A4BCE"/>
    <w:rsid w:val="002A4CB3"/>
    <w:rsid w:val="002A54DC"/>
    <w:rsid w:val="002A5CD3"/>
    <w:rsid w:val="002A6CEE"/>
    <w:rsid w:val="002A6D2E"/>
    <w:rsid w:val="002A6DFD"/>
    <w:rsid w:val="002A7A22"/>
    <w:rsid w:val="002A7D1C"/>
    <w:rsid w:val="002B0085"/>
    <w:rsid w:val="002B0133"/>
    <w:rsid w:val="002B05AF"/>
    <w:rsid w:val="002B07BC"/>
    <w:rsid w:val="002B0800"/>
    <w:rsid w:val="002B095F"/>
    <w:rsid w:val="002B11D3"/>
    <w:rsid w:val="002B139D"/>
    <w:rsid w:val="002B1CF9"/>
    <w:rsid w:val="002B1E2A"/>
    <w:rsid w:val="002B1E67"/>
    <w:rsid w:val="002B20F2"/>
    <w:rsid w:val="002B2717"/>
    <w:rsid w:val="002B31C3"/>
    <w:rsid w:val="002B3281"/>
    <w:rsid w:val="002B3C5C"/>
    <w:rsid w:val="002B3E14"/>
    <w:rsid w:val="002B429E"/>
    <w:rsid w:val="002B5136"/>
    <w:rsid w:val="002B54D4"/>
    <w:rsid w:val="002B5750"/>
    <w:rsid w:val="002B59ED"/>
    <w:rsid w:val="002B5DD0"/>
    <w:rsid w:val="002B613F"/>
    <w:rsid w:val="002B6AD4"/>
    <w:rsid w:val="002B6CE0"/>
    <w:rsid w:val="002B6FD1"/>
    <w:rsid w:val="002B745F"/>
    <w:rsid w:val="002B7830"/>
    <w:rsid w:val="002B7E4D"/>
    <w:rsid w:val="002C0D98"/>
    <w:rsid w:val="002C1187"/>
    <w:rsid w:val="002C1F5A"/>
    <w:rsid w:val="002C2416"/>
    <w:rsid w:val="002C2B84"/>
    <w:rsid w:val="002C2E38"/>
    <w:rsid w:val="002C3B19"/>
    <w:rsid w:val="002C3C99"/>
    <w:rsid w:val="002C3EC8"/>
    <w:rsid w:val="002C421B"/>
    <w:rsid w:val="002C4252"/>
    <w:rsid w:val="002C44C3"/>
    <w:rsid w:val="002C4585"/>
    <w:rsid w:val="002C45EF"/>
    <w:rsid w:val="002C4705"/>
    <w:rsid w:val="002C5734"/>
    <w:rsid w:val="002C6512"/>
    <w:rsid w:val="002C7A7C"/>
    <w:rsid w:val="002C7AD2"/>
    <w:rsid w:val="002D0954"/>
    <w:rsid w:val="002D23CA"/>
    <w:rsid w:val="002D262A"/>
    <w:rsid w:val="002D2D80"/>
    <w:rsid w:val="002D2EE3"/>
    <w:rsid w:val="002D2F7C"/>
    <w:rsid w:val="002D33D7"/>
    <w:rsid w:val="002D3CE4"/>
    <w:rsid w:val="002D440F"/>
    <w:rsid w:val="002D5046"/>
    <w:rsid w:val="002D531A"/>
    <w:rsid w:val="002D5617"/>
    <w:rsid w:val="002D587C"/>
    <w:rsid w:val="002D60D7"/>
    <w:rsid w:val="002D68B3"/>
    <w:rsid w:val="002D7056"/>
    <w:rsid w:val="002D72DE"/>
    <w:rsid w:val="002D74EB"/>
    <w:rsid w:val="002D7D97"/>
    <w:rsid w:val="002E0749"/>
    <w:rsid w:val="002E0856"/>
    <w:rsid w:val="002E0983"/>
    <w:rsid w:val="002E0D4F"/>
    <w:rsid w:val="002E1BC6"/>
    <w:rsid w:val="002E1D42"/>
    <w:rsid w:val="002E1D69"/>
    <w:rsid w:val="002E1DF8"/>
    <w:rsid w:val="002E2639"/>
    <w:rsid w:val="002E2695"/>
    <w:rsid w:val="002E358B"/>
    <w:rsid w:val="002E38BC"/>
    <w:rsid w:val="002E3EFC"/>
    <w:rsid w:val="002E4069"/>
    <w:rsid w:val="002E4922"/>
    <w:rsid w:val="002E4959"/>
    <w:rsid w:val="002E4E0C"/>
    <w:rsid w:val="002E5048"/>
    <w:rsid w:val="002E55D6"/>
    <w:rsid w:val="002E684D"/>
    <w:rsid w:val="002E7145"/>
    <w:rsid w:val="002E76A6"/>
    <w:rsid w:val="002F00CB"/>
    <w:rsid w:val="002F09A7"/>
    <w:rsid w:val="002F0A15"/>
    <w:rsid w:val="002F0AD5"/>
    <w:rsid w:val="002F1624"/>
    <w:rsid w:val="002F194B"/>
    <w:rsid w:val="002F19B3"/>
    <w:rsid w:val="002F1DA9"/>
    <w:rsid w:val="002F1F36"/>
    <w:rsid w:val="002F27C7"/>
    <w:rsid w:val="002F2865"/>
    <w:rsid w:val="002F3497"/>
    <w:rsid w:val="002F37DB"/>
    <w:rsid w:val="002F3B07"/>
    <w:rsid w:val="002F41A6"/>
    <w:rsid w:val="002F41FE"/>
    <w:rsid w:val="002F4477"/>
    <w:rsid w:val="002F47F4"/>
    <w:rsid w:val="002F4B10"/>
    <w:rsid w:val="002F4B60"/>
    <w:rsid w:val="002F51F8"/>
    <w:rsid w:val="002F53FA"/>
    <w:rsid w:val="002F5B1E"/>
    <w:rsid w:val="002F6205"/>
    <w:rsid w:val="002F68B5"/>
    <w:rsid w:val="002F6C9F"/>
    <w:rsid w:val="002F7421"/>
    <w:rsid w:val="002F7F80"/>
    <w:rsid w:val="0030039C"/>
    <w:rsid w:val="00300950"/>
    <w:rsid w:val="0030096C"/>
    <w:rsid w:val="00300B98"/>
    <w:rsid w:val="00300F1C"/>
    <w:rsid w:val="00301599"/>
    <w:rsid w:val="003016B5"/>
    <w:rsid w:val="00301F4B"/>
    <w:rsid w:val="00302AE6"/>
    <w:rsid w:val="00302D20"/>
    <w:rsid w:val="00302EDD"/>
    <w:rsid w:val="003032CF"/>
    <w:rsid w:val="00303710"/>
    <w:rsid w:val="003046C4"/>
    <w:rsid w:val="003048B3"/>
    <w:rsid w:val="00304D52"/>
    <w:rsid w:val="00305877"/>
    <w:rsid w:val="00305CA0"/>
    <w:rsid w:val="00305CFD"/>
    <w:rsid w:val="00305D73"/>
    <w:rsid w:val="00305F1E"/>
    <w:rsid w:val="00306922"/>
    <w:rsid w:val="00306F17"/>
    <w:rsid w:val="0030719B"/>
    <w:rsid w:val="00307D12"/>
    <w:rsid w:val="00307E1A"/>
    <w:rsid w:val="00310567"/>
    <w:rsid w:val="00311F74"/>
    <w:rsid w:val="00312760"/>
    <w:rsid w:val="003135E5"/>
    <w:rsid w:val="00313BE2"/>
    <w:rsid w:val="0031435B"/>
    <w:rsid w:val="00314995"/>
    <w:rsid w:val="00315476"/>
    <w:rsid w:val="00315794"/>
    <w:rsid w:val="003169FC"/>
    <w:rsid w:val="00316AB4"/>
    <w:rsid w:val="00316AE0"/>
    <w:rsid w:val="00316D80"/>
    <w:rsid w:val="00316E83"/>
    <w:rsid w:val="00317043"/>
    <w:rsid w:val="0031743B"/>
    <w:rsid w:val="00317B07"/>
    <w:rsid w:val="0032042C"/>
    <w:rsid w:val="00320B4C"/>
    <w:rsid w:val="00321339"/>
    <w:rsid w:val="00321C6E"/>
    <w:rsid w:val="00322425"/>
    <w:rsid w:val="00322998"/>
    <w:rsid w:val="00323223"/>
    <w:rsid w:val="00323B48"/>
    <w:rsid w:val="00323ECD"/>
    <w:rsid w:val="003245F9"/>
    <w:rsid w:val="003249B3"/>
    <w:rsid w:val="003249C8"/>
    <w:rsid w:val="00324C35"/>
    <w:rsid w:val="003253A5"/>
    <w:rsid w:val="003257C1"/>
    <w:rsid w:val="00325DC3"/>
    <w:rsid w:val="00326107"/>
    <w:rsid w:val="00326229"/>
    <w:rsid w:val="00326943"/>
    <w:rsid w:val="00326BEA"/>
    <w:rsid w:val="00326C85"/>
    <w:rsid w:val="00326CB0"/>
    <w:rsid w:val="0032729D"/>
    <w:rsid w:val="00327BAD"/>
    <w:rsid w:val="003303E1"/>
    <w:rsid w:val="00330A9D"/>
    <w:rsid w:val="003314FA"/>
    <w:rsid w:val="003317A3"/>
    <w:rsid w:val="00331A19"/>
    <w:rsid w:val="00331ECD"/>
    <w:rsid w:val="003326A6"/>
    <w:rsid w:val="00332C53"/>
    <w:rsid w:val="00332C73"/>
    <w:rsid w:val="00333240"/>
    <w:rsid w:val="003333B3"/>
    <w:rsid w:val="00333D4B"/>
    <w:rsid w:val="0033432D"/>
    <w:rsid w:val="003354AC"/>
    <w:rsid w:val="00335D2E"/>
    <w:rsid w:val="00336468"/>
    <w:rsid w:val="0033695E"/>
    <w:rsid w:val="00336A1C"/>
    <w:rsid w:val="00337566"/>
    <w:rsid w:val="003375C4"/>
    <w:rsid w:val="00337B80"/>
    <w:rsid w:val="0034014E"/>
    <w:rsid w:val="00340BF9"/>
    <w:rsid w:val="00340E4A"/>
    <w:rsid w:val="00340FFF"/>
    <w:rsid w:val="003412AE"/>
    <w:rsid w:val="003417EA"/>
    <w:rsid w:val="003419F5"/>
    <w:rsid w:val="00341A24"/>
    <w:rsid w:val="00341E2C"/>
    <w:rsid w:val="00342034"/>
    <w:rsid w:val="003420D3"/>
    <w:rsid w:val="00343639"/>
    <w:rsid w:val="003438FD"/>
    <w:rsid w:val="00343FE2"/>
    <w:rsid w:val="00344384"/>
    <w:rsid w:val="00344539"/>
    <w:rsid w:val="00344B11"/>
    <w:rsid w:val="00344B20"/>
    <w:rsid w:val="00344BB8"/>
    <w:rsid w:val="00344FCE"/>
    <w:rsid w:val="00345104"/>
    <w:rsid w:val="00345215"/>
    <w:rsid w:val="00345C82"/>
    <w:rsid w:val="00345C8D"/>
    <w:rsid w:val="00345E11"/>
    <w:rsid w:val="00347BE0"/>
    <w:rsid w:val="00350242"/>
    <w:rsid w:val="003507D5"/>
    <w:rsid w:val="00350FC9"/>
    <w:rsid w:val="00351166"/>
    <w:rsid w:val="0035116C"/>
    <w:rsid w:val="003511E8"/>
    <w:rsid w:val="00351837"/>
    <w:rsid w:val="00351A6E"/>
    <w:rsid w:val="00351D72"/>
    <w:rsid w:val="00351EF4"/>
    <w:rsid w:val="00352319"/>
    <w:rsid w:val="00352987"/>
    <w:rsid w:val="003530CE"/>
    <w:rsid w:val="00353275"/>
    <w:rsid w:val="003534E6"/>
    <w:rsid w:val="00353683"/>
    <w:rsid w:val="00353F4D"/>
    <w:rsid w:val="00354362"/>
    <w:rsid w:val="00354381"/>
    <w:rsid w:val="003544A1"/>
    <w:rsid w:val="00354BF9"/>
    <w:rsid w:val="00354E82"/>
    <w:rsid w:val="0035513C"/>
    <w:rsid w:val="00355477"/>
    <w:rsid w:val="003554D8"/>
    <w:rsid w:val="00355601"/>
    <w:rsid w:val="0035587E"/>
    <w:rsid w:val="00356106"/>
    <w:rsid w:val="00356194"/>
    <w:rsid w:val="00356A4A"/>
    <w:rsid w:val="00356CE7"/>
    <w:rsid w:val="00357815"/>
    <w:rsid w:val="00357AE6"/>
    <w:rsid w:val="00357D08"/>
    <w:rsid w:val="00361119"/>
    <w:rsid w:val="00361167"/>
    <w:rsid w:val="0036136A"/>
    <w:rsid w:val="0036144B"/>
    <w:rsid w:val="0036184D"/>
    <w:rsid w:val="0036194F"/>
    <w:rsid w:val="00361B8F"/>
    <w:rsid w:val="00361FA5"/>
    <w:rsid w:val="00362B01"/>
    <w:rsid w:val="003634C9"/>
    <w:rsid w:val="00363EEF"/>
    <w:rsid w:val="00364467"/>
    <w:rsid w:val="003644E5"/>
    <w:rsid w:val="003648F0"/>
    <w:rsid w:val="00364905"/>
    <w:rsid w:val="00364ED9"/>
    <w:rsid w:val="00365D17"/>
    <w:rsid w:val="0036660E"/>
    <w:rsid w:val="00366AC3"/>
    <w:rsid w:val="003678FF"/>
    <w:rsid w:val="00367C1E"/>
    <w:rsid w:val="00370C96"/>
    <w:rsid w:val="0037152B"/>
    <w:rsid w:val="00372447"/>
    <w:rsid w:val="00372C0B"/>
    <w:rsid w:val="00372EB3"/>
    <w:rsid w:val="00373F5D"/>
    <w:rsid w:val="00375926"/>
    <w:rsid w:val="00376490"/>
    <w:rsid w:val="0037697A"/>
    <w:rsid w:val="003769C5"/>
    <w:rsid w:val="003769D2"/>
    <w:rsid w:val="00377343"/>
    <w:rsid w:val="00377BE8"/>
    <w:rsid w:val="00377CED"/>
    <w:rsid w:val="003800FE"/>
    <w:rsid w:val="00380512"/>
    <w:rsid w:val="003809B4"/>
    <w:rsid w:val="00380BF0"/>
    <w:rsid w:val="00380E93"/>
    <w:rsid w:val="00381231"/>
    <w:rsid w:val="003814EC"/>
    <w:rsid w:val="003816F5"/>
    <w:rsid w:val="00382010"/>
    <w:rsid w:val="00382979"/>
    <w:rsid w:val="0038364B"/>
    <w:rsid w:val="00383B8B"/>
    <w:rsid w:val="00383FEA"/>
    <w:rsid w:val="0038400C"/>
    <w:rsid w:val="0038420B"/>
    <w:rsid w:val="00384B2E"/>
    <w:rsid w:val="00384D9C"/>
    <w:rsid w:val="00384F00"/>
    <w:rsid w:val="00385341"/>
    <w:rsid w:val="00385534"/>
    <w:rsid w:val="003865AC"/>
    <w:rsid w:val="003868CE"/>
    <w:rsid w:val="00386CDB"/>
    <w:rsid w:val="0038716C"/>
    <w:rsid w:val="00387292"/>
    <w:rsid w:val="0038760E"/>
    <w:rsid w:val="00390212"/>
    <w:rsid w:val="003905CE"/>
    <w:rsid w:val="00391214"/>
    <w:rsid w:val="00391301"/>
    <w:rsid w:val="00391415"/>
    <w:rsid w:val="00391F24"/>
    <w:rsid w:val="0039254E"/>
    <w:rsid w:val="00392731"/>
    <w:rsid w:val="0039285A"/>
    <w:rsid w:val="00392D15"/>
    <w:rsid w:val="00392EBD"/>
    <w:rsid w:val="00393AEB"/>
    <w:rsid w:val="003940D7"/>
    <w:rsid w:val="00394618"/>
    <w:rsid w:val="00394974"/>
    <w:rsid w:val="00394DAD"/>
    <w:rsid w:val="003960AE"/>
    <w:rsid w:val="003968DC"/>
    <w:rsid w:val="00396F2B"/>
    <w:rsid w:val="00396FF4"/>
    <w:rsid w:val="00397542"/>
    <w:rsid w:val="0039779F"/>
    <w:rsid w:val="00397916"/>
    <w:rsid w:val="00397E92"/>
    <w:rsid w:val="00397FF1"/>
    <w:rsid w:val="003A037B"/>
    <w:rsid w:val="003A0806"/>
    <w:rsid w:val="003A0D45"/>
    <w:rsid w:val="003A14F6"/>
    <w:rsid w:val="003A15B1"/>
    <w:rsid w:val="003A1D8D"/>
    <w:rsid w:val="003A2241"/>
    <w:rsid w:val="003A24D2"/>
    <w:rsid w:val="003A285E"/>
    <w:rsid w:val="003A2A8E"/>
    <w:rsid w:val="003A342D"/>
    <w:rsid w:val="003A42D5"/>
    <w:rsid w:val="003A431F"/>
    <w:rsid w:val="003A4DD3"/>
    <w:rsid w:val="003A54EB"/>
    <w:rsid w:val="003A5A26"/>
    <w:rsid w:val="003A5AF1"/>
    <w:rsid w:val="003A6461"/>
    <w:rsid w:val="003A6573"/>
    <w:rsid w:val="003A65FB"/>
    <w:rsid w:val="003A66A7"/>
    <w:rsid w:val="003A70A9"/>
    <w:rsid w:val="003A78D4"/>
    <w:rsid w:val="003B0D15"/>
    <w:rsid w:val="003B14AC"/>
    <w:rsid w:val="003B1728"/>
    <w:rsid w:val="003B22FD"/>
    <w:rsid w:val="003B2BAF"/>
    <w:rsid w:val="003B3960"/>
    <w:rsid w:val="003B3B5F"/>
    <w:rsid w:val="003B46E6"/>
    <w:rsid w:val="003B4E64"/>
    <w:rsid w:val="003B5107"/>
    <w:rsid w:val="003B514C"/>
    <w:rsid w:val="003B557B"/>
    <w:rsid w:val="003B5668"/>
    <w:rsid w:val="003B5B43"/>
    <w:rsid w:val="003B5D1A"/>
    <w:rsid w:val="003B649F"/>
    <w:rsid w:val="003B6841"/>
    <w:rsid w:val="003B6E07"/>
    <w:rsid w:val="003B6F3B"/>
    <w:rsid w:val="003B716A"/>
    <w:rsid w:val="003B7265"/>
    <w:rsid w:val="003B7B50"/>
    <w:rsid w:val="003C008D"/>
    <w:rsid w:val="003C0518"/>
    <w:rsid w:val="003C0848"/>
    <w:rsid w:val="003C0BAB"/>
    <w:rsid w:val="003C0E9E"/>
    <w:rsid w:val="003C1455"/>
    <w:rsid w:val="003C1DD7"/>
    <w:rsid w:val="003C2385"/>
    <w:rsid w:val="003C2C59"/>
    <w:rsid w:val="003C364C"/>
    <w:rsid w:val="003C3C18"/>
    <w:rsid w:val="003C4916"/>
    <w:rsid w:val="003C498B"/>
    <w:rsid w:val="003C4BA4"/>
    <w:rsid w:val="003C4C30"/>
    <w:rsid w:val="003C5133"/>
    <w:rsid w:val="003C53F7"/>
    <w:rsid w:val="003C59F8"/>
    <w:rsid w:val="003C5E57"/>
    <w:rsid w:val="003C5F18"/>
    <w:rsid w:val="003C6007"/>
    <w:rsid w:val="003C603E"/>
    <w:rsid w:val="003C6274"/>
    <w:rsid w:val="003C65E2"/>
    <w:rsid w:val="003C6D74"/>
    <w:rsid w:val="003C7BFC"/>
    <w:rsid w:val="003D030B"/>
    <w:rsid w:val="003D0C25"/>
    <w:rsid w:val="003D0D45"/>
    <w:rsid w:val="003D0DAA"/>
    <w:rsid w:val="003D1624"/>
    <w:rsid w:val="003D2355"/>
    <w:rsid w:val="003D37B3"/>
    <w:rsid w:val="003D3C9E"/>
    <w:rsid w:val="003D3FA8"/>
    <w:rsid w:val="003D49B1"/>
    <w:rsid w:val="003D5C0E"/>
    <w:rsid w:val="003D5D7E"/>
    <w:rsid w:val="003D5DDA"/>
    <w:rsid w:val="003D6A23"/>
    <w:rsid w:val="003D6A29"/>
    <w:rsid w:val="003D6CB8"/>
    <w:rsid w:val="003D7463"/>
    <w:rsid w:val="003D7CC7"/>
    <w:rsid w:val="003E1953"/>
    <w:rsid w:val="003E1E43"/>
    <w:rsid w:val="003E2DAE"/>
    <w:rsid w:val="003E2EE4"/>
    <w:rsid w:val="003E3266"/>
    <w:rsid w:val="003E3B6D"/>
    <w:rsid w:val="003E3FAA"/>
    <w:rsid w:val="003E471E"/>
    <w:rsid w:val="003E4D61"/>
    <w:rsid w:val="003E53DF"/>
    <w:rsid w:val="003E6182"/>
    <w:rsid w:val="003E6330"/>
    <w:rsid w:val="003E65DC"/>
    <w:rsid w:val="003E7293"/>
    <w:rsid w:val="003E75C3"/>
    <w:rsid w:val="003E77FA"/>
    <w:rsid w:val="003E7F0F"/>
    <w:rsid w:val="003F06DE"/>
    <w:rsid w:val="003F07BF"/>
    <w:rsid w:val="003F09ED"/>
    <w:rsid w:val="003F09FD"/>
    <w:rsid w:val="003F0A29"/>
    <w:rsid w:val="003F0BBB"/>
    <w:rsid w:val="003F1889"/>
    <w:rsid w:val="003F1CCE"/>
    <w:rsid w:val="003F24E7"/>
    <w:rsid w:val="003F253D"/>
    <w:rsid w:val="003F2575"/>
    <w:rsid w:val="003F2E9A"/>
    <w:rsid w:val="003F2E9B"/>
    <w:rsid w:val="003F2F14"/>
    <w:rsid w:val="003F3002"/>
    <w:rsid w:val="003F31F7"/>
    <w:rsid w:val="003F3388"/>
    <w:rsid w:val="003F38EA"/>
    <w:rsid w:val="003F3C09"/>
    <w:rsid w:val="003F3CAF"/>
    <w:rsid w:val="003F433B"/>
    <w:rsid w:val="003F483F"/>
    <w:rsid w:val="003F4AEC"/>
    <w:rsid w:val="003F535E"/>
    <w:rsid w:val="003F6217"/>
    <w:rsid w:val="003F6299"/>
    <w:rsid w:val="003F68FB"/>
    <w:rsid w:val="003F6985"/>
    <w:rsid w:val="003F6DE9"/>
    <w:rsid w:val="003F6E7D"/>
    <w:rsid w:val="003F7285"/>
    <w:rsid w:val="003F7A88"/>
    <w:rsid w:val="003F7F96"/>
    <w:rsid w:val="004004ED"/>
    <w:rsid w:val="00400F36"/>
    <w:rsid w:val="00401830"/>
    <w:rsid w:val="00401AAC"/>
    <w:rsid w:val="00401F6C"/>
    <w:rsid w:val="004020CB"/>
    <w:rsid w:val="004021E7"/>
    <w:rsid w:val="0040270E"/>
    <w:rsid w:val="00402B5A"/>
    <w:rsid w:val="00402DA0"/>
    <w:rsid w:val="004037FF"/>
    <w:rsid w:val="00403B67"/>
    <w:rsid w:val="00403F97"/>
    <w:rsid w:val="00404124"/>
    <w:rsid w:val="00404245"/>
    <w:rsid w:val="00404400"/>
    <w:rsid w:val="00404526"/>
    <w:rsid w:val="004047DD"/>
    <w:rsid w:val="00404A25"/>
    <w:rsid w:val="00404A9D"/>
    <w:rsid w:val="00404AB1"/>
    <w:rsid w:val="00404D42"/>
    <w:rsid w:val="00405C8F"/>
    <w:rsid w:val="00406AD0"/>
    <w:rsid w:val="00406B56"/>
    <w:rsid w:val="00406B98"/>
    <w:rsid w:val="00406CCC"/>
    <w:rsid w:val="004073F6"/>
    <w:rsid w:val="0040762B"/>
    <w:rsid w:val="00407D82"/>
    <w:rsid w:val="00410044"/>
    <w:rsid w:val="004105F9"/>
    <w:rsid w:val="00410AEE"/>
    <w:rsid w:val="00411654"/>
    <w:rsid w:val="0041170B"/>
    <w:rsid w:val="0041175F"/>
    <w:rsid w:val="00411805"/>
    <w:rsid w:val="00411B14"/>
    <w:rsid w:val="00411F99"/>
    <w:rsid w:val="004123A0"/>
    <w:rsid w:val="0041254C"/>
    <w:rsid w:val="00413182"/>
    <w:rsid w:val="0041357C"/>
    <w:rsid w:val="00413E23"/>
    <w:rsid w:val="00414782"/>
    <w:rsid w:val="00415048"/>
    <w:rsid w:val="0041511C"/>
    <w:rsid w:val="00416E18"/>
    <w:rsid w:val="00417374"/>
    <w:rsid w:val="00417D35"/>
    <w:rsid w:val="004200BA"/>
    <w:rsid w:val="00420B97"/>
    <w:rsid w:val="00421379"/>
    <w:rsid w:val="00421A00"/>
    <w:rsid w:val="00421C89"/>
    <w:rsid w:val="00422FE7"/>
    <w:rsid w:val="00422FFE"/>
    <w:rsid w:val="0042358A"/>
    <w:rsid w:val="00423799"/>
    <w:rsid w:val="00423842"/>
    <w:rsid w:val="004238E6"/>
    <w:rsid w:val="00423DCF"/>
    <w:rsid w:val="00423FE9"/>
    <w:rsid w:val="004249A6"/>
    <w:rsid w:val="00424B8B"/>
    <w:rsid w:val="00425888"/>
    <w:rsid w:val="004263B9"/>
    <w:rsid w:val="00426604"/>
    <w:rsid w:val="00427121"/>
    <w:rsid w:val="00427F65"/>
    <w:rsid w:val="004306BF"/>
    <w:rsid w:val="00430EE6"/>
    <w:rsid w:val="004312C8"/>
    <w:rsid w:val="004313EA"/>
    <w:rsid w:val="004319B7"/>
    <w:rsid w:val="004319E7"/>
    <w:rsid w:val="004320C3"/>
    <w:rsid w:val="004321B9"/>
    <w:rsid w:val="004322B0"/>
    <w:rsid w:val="00432309"/>
    <w:rsid w:val="00432786"/>
    <w:rsid w:val="00432AEB"/>
    <w:rsid w:val="00433021"/>
    <w:rsid w:val="00433427"/>
    <w:rsid w:val="004335F8"/>
    <w:rsid w:val="0043380D"/>
    <w:rsid w:val="00433890"/>
    <w:rsid w:val="00433A62"/>
    <w:rsid w:val="00433CAA"/>
    <w:rsid w:val="00433F90"/>
    <w:rsid w:val="00434751"/>
    <w:rsid w:val="00434AE6"/>
    <w:rsid w:val="00436055"/>
    <w:rsid w:val="00436C0B"/>
    <w:rsid w:val="00436E7D"/>
    <w:rsid w:val="00436FA0"/>
    <w:rsid w:val="00437B06"/>
    <w:rsid w:val="004406DB"/>
    <w:rsid w:val="00440756"/>
    <w:rsid w:val="0044194C"/>
    <w:rsid w:val="00441AE6"/>
    <w:rsid w:val="00441E3A"/>
    <w:rsid w:val="00442E19"/>
    <w:rsid w:val="00443B3A"/>
    <w:rsid w:val="00443BA1"/>
    <w:rsid w:val="0044456F"/>
    <w:rsid w:val="0044582D"/>
    <w:rsid w:val="00445AC2"/>
    <w:rsid w:val="00445E73"/>
    <w:rsid w:val="004460FE"/>
    <w:rsid w:val="0044661E"/>
    <w:rsid w:val="00446BE2"/>
    <w:rsid w:val="00447124"/>
    <w:rsid w:val="00447126"/>
    <w:rsid w:val="004501D0"/>
    <w:rsid w:val="004502FC"/>
    <w:rsid w:val="00450841"/>
    <w:rsid w:val="00450960"/>
    <w:rsid w:val="00450A3E"/>
    <w:rsid w:val="00451419"/>
    <w:rsid w:val="00451477"/>
    <w:rsid w:val="0045232D"/>
    <w:rsid w:val="004527C7"/>
    <w:rsid w:val="00452887"/>
    <w:rsid w:val="004536F0"/>
    <w:rsid w:val="004540BE"/>
    <w:rsid w:val="004540CF"/>
    <w:rsid w:val="00454753"/>
    <w:rsid w:val="004547DA"/>
    <w:rsid w:val="00454872"/>
    <w:rsid w:val="004553CC"/>
    <w:rsid w:val="00455730"/>
    <w:rsid w:val="00455C4E"/>
    <w:rsid w:val="00455D18"/>
    <w:rsid w:val="00456E68"/>
    <w:rsid w:val="00457416"/>
    <w:rsid w:val="00457495"/>
    <w:rsid w:val="00457867"/>
    <w:rsid w:val="004579B9"/>
    <w:rsid w:val="00460CDA"/>
    <w:rsid w:val="00461076"/>
    <w:rsid w:val="004610A7"/>
    <w:rsid w:val="00461794"/>
    <w:rsid w:val="00461B95"/>
    <w:rsid w:val="0046234D"/>
    <w:rsid w:val="00463C4E"/>
    <w:rsid w:val="00463E77"/>
    <w:rsid w:val="00465104"/>
    <w:rsid w:val="004661E9"/>
    <w:rsid w:val="0046622F"/>
    <w:rsid w:val="0046633A"/>
    <w:rsid w:val="00466968"/>
    <w:rsid w:val="00467494"/>
    <w:rsid w:val="00467A95"/>
    <w:rsid w:val="00470181"/>
    <w:rsid w:val="004702CB"/>
    <w:rsid w:val="004714D8"/>
    <w:rsid w:val="00471B1C"/>
    <w:rsid w:val="00471C20"/>
    <w:rsid w:val="004721A6"/>
    <w:rsid w:val="004723BF"/>
    <w:rsid w:val="004725C5"/>
    <w:rsid w:val="00472765"/>
    <w:rsid w:val="0047359D"/>
    <w:rsid w:val="00474118"/>
    <w:rsid w:val="00474985"/>
    <w:rsid w:val="00474D81"/>
    <w:rsid w:val="0047516D"/>
    <w:rsid w:val="004755D4"/>
    <w:rsid w:val="00475796"/>
    <w:rsid w:val="00475CA9"/>
    <w:rsid w:val="00475E8B"/>
    <w:rsid w:val="00476D89"/>
    <w:rsid w:val="004775CD"/>
    <w:rsid w:val="004776D8"/>
    <w:rsid w:val="004777AF"/>
    <w:rsid w:val="004778E3"/>
    <w:rsid w:val="00477A2C"/>
    <w:rsid w:val="00477C7C"/>
    <w:rsid w:val="00477F0A"/>
    <w:rsid w:val="004802B9"/>
    <w:rsid w:val="004805C3"/>
    <w:rsid w:val="00481759"/>
    <w:rsid w:val="00481AC6"/>
    <w:rsid w:val="004820B5"/>
    <w:rsid w:val="00482B36"/>
    <w:rsid w:val="0048347A"/>
    <w:rsid w:val="00483630"/>
    <w:rsid w:val="004836E6"/>
    <w:rsid w:val="00483755"/>
    <w:rsid w:val="004839BA"/>
    <w:rsid w:val="00483AE4"/>
    <w:rsid w:val="00484004"/>
    <w:rsid w:val="00484B82"/>
    <w:rsid w:val="00485E1F"/>
    <w:rsid w:val="00486243"/>
    <w:rsid w:val="004867AB"/>
    <w:rsid w:val="00486ABF"/>
    <w:rsid w:val="00486BE6"/>
    <w:rsid w:val="00487345"/>
    <w:rsid w:val="00487F53"/>
    <w:rsid w:val="0049040C"/>
    <w:rsid w:val="0049080C"/>
    <w:rsid w:val="00491A0A"/>
    <w:rsid w:val="00492131"/>
    <w:rsid w:val="004926DD"/>
    <w:rsid w:val="004926F3"/>
    <w:rsid w:val="00492BC1"/>
    <w:rsid w:val="0049300A"/>
    <w:rsid w:val="004934D2"/>
    <w:rsid w:val="004939C8"/>
    <w:rsid w:val="004940EB"/>
    <w:rsid w:val="0049447B"/>
    <w:rsid w:val="004944AC"/>
    <w:rsid w:val="00495B47"/>
    <w:rsid w:val="00496213"/>
    <w:rsid w:val="004968ED"/>
    <w:rsid w:val="00496916"/>
    <w:rsid w:val="00497024"/>
    <w:rsid w:val="0049727E"/>
    <w:rsid w:val="004972CE"/>
    <w:rsid w:val="004977CD"/>
    <w:rsid w:val="0049780F"/>
    <w:rsid w:val="004A0648"/>
    <w:rsid w:val="004A0AE1"/>
    <w:rsid w:val="004A0C10"/>
    <w:rsid w:val="004A11FE"/>
    <w:rsid w:val="004A13BB"/>
    <w:rsid w:val="004A1404"/>
    <w:rsid w:val="004A1738"/>
    <w:rsid w:val="004A18DB"/>
    <w:rsid w:val="004A1E82"/>
    <w:rsid w:val="004A20F5"/>
    <w:rsid w:val="004A2B2C"/>
    <w:rsid w:val="004A2D3C"/>
    <w:rsid w:val="004A30A4"/>
    <w:rsid w:val="004A30FC"/>
    <w:rsid w:val="004A3477"/>
    <w:rsid w:val="004A3BEC"/>
    <w:rsid w:val="004A3D72"/>
    <w:rsid w:val="004A47AB"/>
    <w:rsid w:val="004A57A1"/>
    <w:rsid w:val="004A5DF3"/>
    <w:rsid w:val="004A6255"/>
    <w:rsid w:val="004A6B03"/>
    <w:rsid w:val="004A706A"/>
    <w:rsid w:val="004A7260"/>
    <w:rsid w:val="004A7A6D"/>
    <w:rsid w:val="004B01BD"/>
    <w:rsid w:val="004B0FD1"/>
    <w:rsid w:val="004B1545"/>
    <w:rsid w:val="004B181C"/>
    <w:rsid w:val="004B2979"/>
    <w:rsid w:val="004B2E50"/>
    <w:rsid w:val="004B2EBE"/>
    <w:rsid w:val="004B38C0"/>
    <w:rsid w:val="004B3EB9"/>
    <w:rsid w:val="004B4009"/>
    <w:rsid w:val="004B47D9"/>
    <w:rsid w:val="004B4F14"/>
    <w:rsid w:val="004B4F8E"/>
    <w:rsid w:val="004B5488"/>
    <w:rsid w:val="004B5F0A"/>
    <w:rsid w:val="004B6DA1"/>
    <w:rsid w:val="004B73F7"/>
    <w:rsid w:val="004B761B"/>
    <w:rsid w:val="004B79FE"/>
    <w:rsid w:val="004C0695"/>
    <w:rsid w:val="004C0FF7"/>
    <w:rsid w:val="004C171B"/>
    <w:rsid w:val="004C1D4B"/>
    <w:rsid w:val="004C2390"/>
    <w:rsid w:val="004C258B"/>
    <w:rsid w:val="004C27A3"/>
    <w:rsid w:val="004C2B73"/>
    <w:rsid w:val="004C2D42"/>
    <w:rsid w:val="004C2E15"/>
    <w:rsid w:val="004C2FFE"/>
    <w:rsid w:val="004C3139"/>
    <w:rsid w:val="004C3A58"/>
    <w:rsid w:val="004C3B3F"/>
    <w:rsid w:val="004C406B"/>
    <w:rsid w:val="004C455E"/>
    <w:rsid w:val="004C4659"/>
    <w:rsid w:val="004C4C02"/>
    <w:rsid w:val="004C4E07"/>
    <w:rsid w:val="004C528C"/>
    <w:rsid w:val="004C68BB"/>
    <w:rsid w:val="004C68FF"/>
    <w:rsid w:val="004C6B79"/>
    <w:rsid w:val="004C720D"/>
    <w:rsid w:val="004C729F"/>
    <w:rsid w:val="004C79C8"/>
    <w:rsid w:val="004C7FC6"/>
    <w:rsid w:val="004D00DF"/>
    <w:rsid w:val="004D020D"/>
    <w:rsid w:val="004D04D1"/>
    <w:rsid w:val="004D11C6"/>
    <w:rsid w:val="004D15BC"/>
    <w:rsid w:val="004D1687"/>
    <w:rsid w:val="004D18B0"/>
    <w:rsid w:val="004D1C24"/>
    <w:rsid w:val="004D20BC"/>
    <w:rsid w:val="004D20D4"/>
    <w:rsid w:val="004D2111"/>
    <w:rsid w:val="004D2518"/>
    <w:rsid w:val="004D2AE8"/>
    <w:rsid w:val="004D2B46"/>
    <w:rsid w:val="004D390D"/>
    <w:rsid w:val="004D3C35"/>
    <w:rsid w:val="004D3C97"/>
    <w:rsid w:val="004D3EE1"/>
    <w:rsid w:val="004D40A0"/>
    <w:rsid w:val="004D4217"/>
    <w:rsid w:val="004D436E"/>
    <w:rsid w:val="004D43C1"/>
    <w:rsid w:val="004D4465"/>
    <w:rsid w:val="004D4646"/>
    <w:rsid w:val="004D4D63"/>
    <w:rsid w:val="004D4E8A"/>
    <w:rsid w:val="004D599D"/>
    <w:rsid w:val="004D59EA"/>
    <w:rsid w:val="004D6E11"/>
    <w:rsid w:val="004D7A6E"/>
    <w:rsid w:val="004D7FA3"/>
    <w:rsid w:val="004E078B"/>
    <w:rsid w:val="004E0BF4"/>
    <w:rsid w:val="004E11E2"/>
    <w:rsid w:val="004E15C5"/>
    <w:rsid w:val="004E1634"/>
    <w:rsid w:val="004E1A56"/>
    <w:rsid w:val="004E1E46"/>
    <w:rsid w:val="004E2FFC"/>
    <w:rsid w:val="004E329C"/>
    <w:rsid w:val="004E3692"/>
    <w:rsid w:val="004E3E5A"/>
    <w:rsid w:val="004E3F99"/>
    <w:rsid w:val="004E414E"/>
    <w:rsid w:val="004E41A4"/>
    <w:rsid w:val="004E586F"/>
    <w:rsid w:val="004E5DF4"/>
    <w:rsid w:val="004E6DC5"/>
    <w:rsid w:val="004E6E4E"/>
    <w:rsid w:val="004F07D8"/>
    <w:rsid w:val="004F1278"/>
    <w:rsid w:val="004F19AD"/>
    <w:rsid w:val="004F1B36"/>
    <w:rsid w:val="004F2F6E"/>
    <w:rsid w:val="004F3060"/>
    <w:rsid w:val="004F34DE"/>
    <w:rsid w:val="004F4870"/>
    <w:rsid w:val="004F4C03"/>
    <w:rsid w:val="004F5905"/>
    <w:rsid w:val="004F5D99"/>
    <w:rsid w:val="004F6394"/>
    <w:rsid w:val="004F6A05"/>
    <w:rsid w:val="004F73B0"/>
    <w:rsid w:val="004F74AE"/>
    <w:rsid w:val="004F7518"/>
    <w:rsid w:val="004F7578"/>
    <w:rsid w:val="004F792B"/>
    <w:rsid w:val="005007A8"/>
    <w:rsid w:val="005007F5"/>
    <w:rsid w:val="00501010"/>
    <w:rsid w:val="00501305"/>
    <w:rsid w:val="0050185A"/>
    <w:rsid w:val="00501F4C"/>
    <w:rsid w:val="00502077"/>
    <w:rsid w:val="00502152"/>
    <w:rsid w:val="00502312"/>
    <w:rsid w:val="005023AA"/>
    <w:rsid w:val="00502D58"/>
    <w:rsid w:val="00503313"/>
    <w:rsid w:val="0050361E"/>
    <w:rsid w:val="00503746"/>
    <w:rsid w:val="0050385D"/>
    <w:rsid w:val="00503C04"/>
    <w:rsid w:val="00504A28"/>
    <w:rsid w:val="00504F98"/>
    <w:rsid w:val="00505EEB"/>
    <w:rsid w:val="0050627E"/>
    <w:rsid w:val="005064BE"/>
    <w:rsid w:val="0050676E"/>
    <w:rsid w:val="005069A9"/>
    <w:rsid w:val="005073EF"/>
    <w:rsid w:val="0050761E"/>
    <w:rsid w:val="00507EB4"/>
    <w:rsid w:val="005103F1"/>
    <w:rsid w:val="00510447"/>
    <w:rsid w:val="0051200B"/>
    <w:rsid w:val="00512099"/>
    <w:rsid w:val="00512435"/>
    <w:rsid w:val="00512737"/>
    <w:rsid w:val="00512794"/>
    <w:rsid w:val="00512B11"/>
    <w:rsid w:val="00512B1C"/>
    <w:rsid w:val="00513698"/>
    <w:rsid w:val="00513C00"/>
    <w:rsid w:val="00513C2D"/>
    <w:rsid w:val="00513D2A"/>
    <w:rsid w:val="00514846"/>
    <w:rsid w:val="0051524E"/>
    <w:rsid w:val="0051562D"/>
    <w:rsid w:val="0051584A"/>
    <w:rsid w:val="00515962"/>
    <w:rsid w:val="00516199"/>
    <w:rsid w:val="005161A3"/>
    <w:rsid w:val="005171BF"/>
    <w:rsid w:val="00517283"/>
    <w:rsid w:val="00517475"/>
    <w:rsid w:val="005175E7"/>
    <w:rsid w:val="005178BB"/>
    <w:rsid w:val="005207F7"/>
    <w:rsid w:val="00520A86"/>
    <w:rsid w:val="00520E6E"/>
    <w:rsid w:val="0052149F"/>
    <w:rsid w:val="00521934"/>
    <w:rsid w:val="00521CA3"/>
    <w:rsid w:val="005226E7"/>
    <w:rsid w:val="00522DE7"/>
    <w:rsid w:val="0052316B"/>
    <w:rsid w:val="0052477C"/>
    <w:rsid w:val="0052523B"/>
    <w:rsid w:val="00525F9F"/>
    <w:rsid w:val="00527640"/>
    <w:rsid w:val="00527D87"/>
    <w:rsid w:val="00530A35"/>
    <w:rsid w:val="00530ACA"/>
    <w:rsid w:val="00530EF5"/>
    <w:rsid w:val="00532351"/>
    <w:rsid w:val="0053270E"/>
    <w:rsid w:val="00532EDB"/>
    <w:rsid w:val="0053328E"/>
    <w:rsid w:val="00533E5E"/>
    <w:rsid w:val="00534254"/>
    <w:rsid w:val="005344F5"/>
    <w:rsid w:val="005345DF"/>
    <w:rsid w:val="0053482F"/>
    <w:rsid w:val="00535731"/>
    <w:rsid w:val="00535941"/>
    <w:rsid w:val="00535A76"/>
    <w:rsid w:val="00535EC7"/>
    <w:rsid w:val="00535F32"/>
    <w:rsid w:val="005361BB"/>
    <w:rsid w:val="005364E8"/>
    <w:rsid w:val="005373E1"/>
    <w:rsid w:val="00537565"/>
    <w:rsid w:val="0054091D"/>
    <w:rsid w:val="005409CA"/>
    <w:rsid w:val="00540F9A"/>
    <w:rsid w:val="005414B3"/>
    <w:rsid w:val="00541768"/>
    <w:rsid w:val="00541ACE"/>
    <w:rsid w:val="00541DFE"/>
    <w:rsid w:val="00541E41"/>
    <w:rsid w:val="005427C5"/>
    <w:rsid w:val="00543075"/>
    <w:rsid w:val="005441A7"/>
    <w:rsid w:val="0054442C"/>
    <w:rsid w:val="0054448C"/>
    <w:rsid w:val="005448B9"/>
    <w:rsid w:val="0054516E"/>
    <w:rsid w:val="00545B16"/>
    <w:rsid w:val="00545C83"/>
    <w:rsid w:val="00545FBA"/>
    <w:rsid w:val="00546221"/>
    <w:rsid w:val="005464F5"/>
    <w:rsid w:val="00546D72"/>
    <w:rsid w:val="00550EA0"/>
    <w:rsid w:val="0055160D"/>
    <w:rsid w:val="00551C91"/>
    <w:rsid w:val="00552062"/>
    <w:rsid w:val="0055318F"/>
    <w:rsid w:val="005538C7"/>
    <w:rsid w:val="00553968"/>
    <w:rsid w:val="00553CCE"/>
    <w:rsid w:val="0055477C"/>
    <w:rsid w:val="00554840"/>
    <w:rsid w:val="00554DEF"/>
    <w:rsid w:val="00554E88"/>
    <w:rsid w:val="00555F5D"/>
    <w:rsid w:val="0055708C"/>
    <w:rsid w:val="00557B81"/>
    <w:rsid w:val="00557FBA"/>
    <w:rsid w:val="00560551"/>
    <w:rsid w:val="0056073A"/>
    <w:rsid w:val="00560981"/>
    <w:rsid w:val="00560F2A"/>
    <w:rsid w:val="00560F54"/>
    <w:rsid w:val="00561452"/>
    <w:rsid w:val="005617E8"/>
    <w:rsid w:val="0056226E"/>
    <w:rsid w:val="005628E7"/>
    <w:rsid w:val="00562BF4"/>
    <w:rsid w:val="00562EA3"/>
    <w:rsid w:val="0056343D"/>
    <w:rsid w:val="0056380A"/>
    <w:rsid w:val="00564AB5"/>
    <w:rsid w:val="00564ACD"/>
    <w:rsid w:val="005653BE"/>
    <w:rsid w:val="0056548F"/>
    <w:rsid w:val="005655CA"/>
    <w:rsid w:val="005659BC"/>
    <w:rsid w:val="00565CDD"/>
    <w:rsid w:val="00565DD1"/>
    <w:rsid w:val="00565F5D"/>
    <w:rsid w:val="0056626F"/>
    <w:rsid w:val="005663B9"/>
    <w:rsid w:val="0056696F"/>
    <w:rsid w:val="00566AAF"/>
    <w:rsid w:val="005670F2"/>
    <w:rsid w:val="00567B45"/>
    <w:rsid w:val="00570B63"/>
    <w:rsid w:val="00570E23"/>
    <w:rsid w:val="00571FE2"/>
    <w:rsid w:val="00572244"/>
    <w:rsid w:val="00572546"/>
    <w:rsid w:val="00572CF5"/>
    <w:rsid w:val="00573133"/>
    <w:rsid w:val="005742EB"/>
    <w:rsid w:val="0057436B"/>
    <w:rsid w:val="00574690"/>
    <w:rsid w:val="00574A26"/>
    <w:rsid w:val="00574CDD"/>
    <w:rsid w:val="005751C5"/>
    <w:rsid w:val="00575BC8"/>
    <w:rsid w:val="00575FA2"/>
    <w:rsid w:val="0057680A"/>
    <w:rsid w:val="00577EAA"/>
    <w:rsid w:val="00581170"/>
    <w:rsid w:val="00581219"/>
    <w:rsid w:val="0058144B"/>
    <w:rsid w:val="00581559"/>
    <w:rsid w:val="00581B46"/>
    <w:rsid w:val="00582A11"/>
    <w:rsid w:val="00582A9A"/>
    <w:rsid w:val="0058313E"/>
    <w:rsid w:val="005834CB"/>
    <w:rsid w:val="00583AA0"/>
    <w:rsid w:val="00583D98"/>
    <w:rsid w:val="00585187"/>
    <w:rsid w:val="005855DF"/>
    <w:rsid w:val="005857DD"/>
    <w:rsid w:val="005859BA"/>
    <w:rsid w:val="00586782"/>
    <w:rsid w:val="00586F26"/>
    <w:rsid w:val="0058729A"/>
    <w:rsid w:val="00587889"/>
    <w:rsid w:val="0058789C"/>
    <w:rsid w:val="00587C40"/>
    <w:rsid w:val="00587C77"/>
    <w:rsid w:val="00590B01"/>
    <w:rsid w:val="0059166A"/>
    <w:rsid w:val="00591789"/>
    <w:rsid w:val="00591999"/>
    <w:rsid w:val="00591CE6"/>
    <w:rsid w:val="005927E3"/>
    <w:rsid w:val="00592F30"/>
    <w:rsid w:val="005938AF"/>
    <w:rsid w:val="00593AB6"/>
    <w:rsid w:val="00593D4C"/>
    <w:rsid w:val="0059469E"/>
    <w:rsid w:val="0059487C"/>
    <w:rsid w:val="00594B41"/>
    <w:rsid w:val="00594FF3"/>
    <w:rsid w:val="005951C9"/>
    <w:rsid w:val="0059546D"/>
    <w:rsid w:val="0059567F"/>
    <w:rsid w:val="00595AB5"/>
    <w:rsid w:val="00595E15"/>
    <w:rsid w:val="00596720"/>
    <w:rsid w:val="00596B96"/>
    <w:rsid w:val="00597528"/>
    <w:rsid w:val="0059755C"/>
    <w:rsid w:val="0059790F"/>
    <w:rsid w:val="00597C91"/>
    <w:rsid w:val="005A05E5"/>
    <w:rsid w:val="005A1159"/>
    <w:rsid w:val="005A1FA0"/>
    <w:rsid w:val="005A2037"/>
    <w:rsid w:val="005A216B"/>
    <w:rsid w:val="005A21E1"/>
    <w:rsid w:val="005A2D04"/>
    <w:rsid w:val="005A3352"/>
    <w:rsid w:val="005A3566"/>
    <w:rsid w:val="005A364E"/>
    <w:rsid w:val="005A36F2"/>
    <w:rsid w:val="005A3D94"/>
    <w:rsid w:val="005A48AF"/>
    <w:rsid w:val="005A5672"/>
    <w:rsid w:val="005A59DB"/>
    <w:rsid w:val="005A5A7D"/>
    <w:rsid w:val="005A5CC9"/>
    <w:rsid w:val="005A5F88"/>
    <w:rsid w:val="005A601D"/>
    <w:rsid w:val="005A6BB1"/>
    <w:rsid w:val="005A7160"/>
    <w:rsid w:val="005A71F9"/>
    <w:rsid w:val="005A7655"/>
    <w:rsid w:val="005A7A50"/>
    <w:rsid w:val="005A7C64"/>
    <w:rsid w:val="005A7DEB"/>
    <w:rsid w:val="005B0F22"/>
    <w:rsid w:val="005B1734"/>
    <w:rsid w:val="005B1CAD"/>
    <w:rsid w:val="005B22B2"/>
    <w:rsid w:val="005B2371"/>
    <w:rsid w:val="005B23CB"/>
    <w:rsid w:val="005B281F"/>
    <w:rsid w:val="005B3ACC"/>
    <w:rsid w:val="005B3DB9"/>
    <w:rsid w:val="005B45DA"/>
    <w:rsid w:val="005B4B99"/>
    <w:rsid w:val="005B5669"/>
    <w:rsid w:val="005B5984"/>
    <w:rsid w:val="005B5A5A"/>
    <w:rsid w:val="005B6B11"/>
    <w:rsid w:val="005B7313"/>
    <w:rsid w:val="005B77B3"/>
    <w:rsid w:val="005C11D6"/>
    <w:rsid w:val="005C185D"/>
    <w:rsid w:val="005C1ADA"/>
    <w:rsid w:val="005C2CA1"/>
    <w:rsid w:val="005C35AC"/>
    <w:rsid w:val="005C3702"/>
    <w:rsid w:val="005C3CF7"/>
    <w:rsid w:val="005C4FE0"/>
    <w:rsid w:val="005C5326"/>
    <w:rsid w:val="005C5DB1"/>
    <w:rsid w:val="005C60CA"/>
    <w:rsid w:val="005C63D2"/>
    <w:rsid w:val="005C65D4"/>
    <w:rsid w:val="005C6662"/>
    <w:rsid w:val="005C6675"/>
    <w:rsid w:val="005C67B0"/>
    <w:rsid w:val="005C6F58"/>
    <w:rsid w:val="005C725F"/>
    <w:rsid w:val="005C7284"/>
    <w:rsid w:val="005C7B0A"/>
    <w:rsid w:val="005C7C30"/>
    <w:rsid w:val="005C7C99"/>
    <w:rsid w:val="005D10C1"/>
    <w:rsid w:val="005D18BC"/>
    <w:rsid w:val="005D1B70"/>
    <w:rsid w:val="005D237C"/>
    <w:rsid w:val="005D30D0"/>
    <w:rsid w:val="005D32FC"/>
    <w:rsid w:val="005D341B"/>
    <w:rsid w:val="005D39EE"/>
    <w:rsid w:val="005D3EFC"/>
    <w:rsid w:val="005D4048"/>
    <w:rsid w:val="005D4FC4"/>
    <w:rsid w:val="005D52AF"/>
    <w:rsid w:val="005D532D"/>
    <w:rsid w:val="005D5794"/>
    <w:rsid w:val="005D57FE"/>
    <w:rsid w:val="005D5D9E"/>
    <w:rsid w:val="005D66F4"/>
    <w:rsid w:val="005D680B"/>
    <w:rsid w:val="005D731A"/>
    <w:rsid w:val="005D7F14"/>
    <w:rsid w:val="005E063E"/>
    <w:rsid w:val="005E1EEE"/>
    <w:rsid w:val="005E23CB"/>
    <w:rsid w:val="005E26A0"/>
    <w:rsid w:val="005E309B"/>
    <w:rsid w:val="005E37A5"/>
    <w:rsid w:val="005E4D60"/>
    <w:rsid w:val="005E56F6"/>
    <w:rsid w:val="005E5B09"/>
    <w:rsid w:val="005E5E7C"/>
    <w:rsid w:val="005E618C"/>
    <w:rsid w:val="005E6435"/>
    <w:rsid w:val="005E69A6"/>
    <w:rsid w:val="005E6E10"/>
    <w:rsid w:val="005E6FAE"/>
    <w:rsid w:val="005E6FEC"/>
    <w:rsid w:val="005E79FE"/>
    <w:rsid w:val="005F0874"/>
    <w:rsid w:val="005F0F73"/>
    <w:rsid w:val="005F1479"/>
    <w:rsid w:val="005F166C"/>
    <w:rsid w:val="005F1E3D"/>
    <w:rsid w:val="005F1FFC"/>
    <w:rsid w:val="005F2375"/>
    <w:rsid w:val="005F23EB"/>
    <w:rsid w:val="005F2822"/>
    <w:rsid w:val="005F34E6"/>
    <w:rsid w:val="005F3746"/>
    <w:rsid w:val="005F3C80"/>
    <w:rsid w:val="005F3DF2"/>
    <w:rsid w:val="005F41DF"/>
    <w:rsid w:val="005F4B3A"/>
    <w:rsid w:val="005F535D"/>
    <w:rsid w:val="005F54C0"/>
    <w:rsid w:val="005F54D9"/>
    <w:rsid w:val="005F5997"/>
    <w:rsid w:val="005F5AC0"/>
    <w:rsid w:val="005F636E"/>
    <w:rsid w:val="005F6BE3"/>
    <w:rsid w:val="005F707D"/>
    <w:rsid w:val="005F7C2D"/>
    <w:rsid w:val="006000B3"/>
    <w:rsid w:val="00600908"/>
    <w:rsid w:val="006026B2"/>
    <w:rsid w:val="00602769"/>
    <w:rsid w:val="00602E1B"/>
    <w:rsid w:val="00602FE6"/>
    <w:rsid w:val="00603560"/>
    <w:rsid w:val="00603953"/>
    <w:rsid w:val="00604DAF"/>
    <w:rsid w:val="00605547"/>
    <w:rsid w:val="0060591E"/>
    <w:rsid w:val="00605CBC"/>
    <w:rsid w:val="00606270"/>
    <w:rsid w:val="00606546"/>
    <w:rsid w:val="00606734"/>
    <w:rsid w:val="00607288"/>
    <w:rsid w:val="00607554"/>
    <w:rsid w:val="006075C5"/>
    <w:rsid w:val="0061014B"/>
    <w:rsid w:val="006103B8"/>
    <w:rsid w:val="00610828"/>
    <w:rsid w:val="00610CF2"/>
    <w:rsid w:val="0061170A"/>
    <w:rsid w:val="0061197F"/>
    <w:rsid w:val="0061298F"/>
    <w:rsid w:val="00612E8F"/>
    <w:rsid w:val="00612FDA"/>
    <w:rsid w:val="00613522"/>
    <w:rsid w:val="00613A65"/>
    <w:rsid w:val="00613EE9"/>
    <w:rsid w:val="006151AE"/>
    <w:rsid w:val="0061542A"/>
    <w:rsid w:val="0061591C"/>
    <w:rsid w:val="00616813"/>
    <w:rsid w:val="00616B3E"/>
    <w:rsid w:val="00617689"/>
    <w:rsid w:val="006178CE"/>
    <w:rsid w:val="00617ADE"/>
    <w:rsid w:val="00617B05"/>
    <w:rsid w:val="00617B7A"/>
    <w:rsid w:val="0062055E"/>
    <w:rsid w:val="006216E5"/>
    <w:rsid w:val="00621B7F"/>
    <w:rsid w:val="0062209A"/>
    <w:rsid w:val="006226B0"/>
    <w:rsid w:val="00622757"/>
    <w:rsid w:val="0062277A"/>
    <w:rsid w:val="006232BB"/>
    <w:rsid w:val="006233B5"/>
    <w:rsid w:val="00623522"/>
    <w:rsid w:val="006237FE"/>
    <w:rsid w:val="00623BFF"/>
    <w:rsid w:val="0062447C"/>
    <w:rsid w:val="006245FF"/>
    <w:rsid w:val="00625D77"/>
    <w:rsid w:val="006264FA"/>
    <w:rsid w:val="0062657E"/>
    <w:rsid w:val="006266A4"/>
    <w:rsid w:val="00626AC1"/>
    <w:rsid w:val="00626BFC"/>
    <w:rsid w:val="006273A6"/>
    <w:rsid w:val="00627991"/>
    <w:rsid w:val="00627CE0"/>
    <w:rsid w:val="00627F29"/>
    <w:rsid w:val="0063092E"/>
    <w:rsid w:val="006319AD"/>
    <w:rsid w:val="00631A36"/>
    <w:rsid w:val="00631D3D"/>
    <w:rsid w:val="00632034"/>
    <w:rsid w:val="00633170"/>
    <w:rsid w:val="00633514"/>
    <w:rsid w:val="0063366E"/>
    <w:rsid w:val="00633C10"/>
    <w:rsid w:val="00633E73"/>
    <w:rsid w:val="006344BC"/>
    <w:rsid w:val="006346AA"/>
    <w:rsid w:val="006354E0"/>
    <w:rsid w:val="00635516"/>
    <w:rsid w:val="006357DB"/>
    <w:rsid w:val="00635B80"/>
    <w:rsid w:val="00636131"/>
    <w:rsid w:val="00636D7F"/>
    <w:rsid w:val="00637072"/>
    <w:rsid w:val="0063711C"/>
    <w:rsid w:val="00637245"/>
    <w:rsid w:val="00637477"/>
    <w:rsid w:val="00637870"/>
    <w:rsid w:val="00637AD3"/>
    <w:rsid w:val="00640684"/>
    <w:rsid w:val="00640BF2"/>
    <w:rsid w:val="00640CF6"/>
    <w:rsid w:val="006413F2"/>
    <w:rsid w:val="00641C4F"/>
    <w:rsid w:val="00641D6D"/>
    <w:rsid w:val="006427D5"/>
    <w:rsid w:val="006428EB"/>
    <w:rsid w:val="00642FC3"/>
    <w:rsid w:val="006444D9"/>
    <w:rsid w:val="00644C77"/>
    <w:rsid w:val="00645BC5"/>
    <w:rsid w:val="00646117"/>
    <w:rsid w:val="006463C8"/>
    <w:rsid w:val="006468C1"/>
    <w:rsid w:val="00646BC7"/>
    <w:rsid w:val="00646D6E"/>
    <w:rsid w:val="00646E2A"/>
    <w:rsid w:val="00646EF0"/>
    <w:rsid w:val="0064743B"/>
    <w:rsid w:val="00647B0E"/>
    <w:rsid w:val="006501FC"/>
    <w:rsid w:val="00650A9D"/>
    <w:rsid w:val="00650CCD"/>
    <w:rsid w:val="00650D7E"/>
    <w:rsid w:val="00651019"/>
    <w:rsid w:val="0065182E"/>
    <w:rsid w:val="006519C7"/>
    <w:rsid w:val="00651D00"/>
    <w:rsid w:val="00652889"/>
    <w:rsid w:val="00652A9B"/>
    <w:rsid w:val="0065334D"/>
    <w:rsid w:val="006547AC"/>
    <w:rsid w:val="006552D6"/>
    <w:rsid w:val="00655B01"/>
    <w:rsid w:val="00655B4E"/>
    <w:rsid w:val="00656219"/>
    <w:rsid w:val="00656320"/>
    <w:rsid w:val="00656830"/>
    <w:rsid w:val="00656EF4"/>
    <w:rsid w:val="00656F9E"/>
    <w:rsid w:val="0065751D"/>
    <w:rsid w:val="00657C23"/>
    <w:rsid w:val="00657F02"/>
    <w:rsid w:val="00660834"/>
    <w:rsid w:val="00660BA5"/>
    <w:rsid w:val="006613A7"/>
    <w:rsid w:val="00661924"/>
    <w:rsid w:val="00663AA2"/>
    <w:rsid w:val="00663D65"/>
    <w:rsid w:val="00664BEC"/>
    <w:rsid w:val="00664BFF"/>
    <w:rsid w:val="00664FC1"/>
    <w:rsid w:val="006654E4"/>
    <w:rsid w:val="00666261"/>
    <w:rsid w:val="00666AC3"/>
    <w:rsid w:val="00666BB5"/>
    <w:rsid w:val="0066713A"/>
    <w:rsid w:val="00667565"/>
    <w:rsid w:val="00667E3C"/>
    <w:rsid w:val="00667F1E"/>
    <w:rsid w:val="00670107"/>
    <w:rsid w:val="00670149"/>
    <w:rsid w:val="006720C0"/>
    <w:rsid w:val="006721AC"/>
    <w:rsid w:val="00672AB1"/>
    <w:rsid w:val="00673C94"/>
    <w:rsid w:val="006740D6"/>
    <w:rsid w:val="006743A3"/>
    <w:rsid w:val="00674653"/>
    <w:rsid w:val="006746CF"/>
    <w:rsid w:val="00674A66"/>
    <w:rsid w:val="0067535E"/>
    <w:rsid w:val="0067594E"/>
    <w:rsid w:val="00676019"/>
    <w:rsid w:val="0067695B"/>
    <w:rsid w:val="00676D6E"/>
    <w:rsid w:val="006770C0"/>
    <w:rsid w:val="0067791A"/>
    <w:rsid w:val="00677C6A"/>
    <w:rsid w:val="00677D57"/>
    <w:rsid w:val="00680ABC"/>
    <w:rsid w:val="00680E97"/>
    <w:rsid w:val="0068106A"/>
    <w:rsid w:val="00681422"/>
    <w:rsid w:val="006819FB"/>
    <w:rsid w:val="00684390"/>
    <w:rsid w:val="006846C4"/>
    <w:rsid w:val="00685DBF"/>
    <w:rsid w:val="0068650D"/>
    <w:rsid w:val="00686871"/>
    <w:rsid w:val="00686D8E"/>
    <w:rsid w:val="006876B6"/>
    <w:rsid w:val="00687C0A"/>
    <w:rsid w:val="006900C7"/>
    <w:rsid w:val="00690400"/>
    <w:rsid w:val="00690675"/>
    <w:rsid w:val="00690777"/>
    <w:rsid w:val="00690F2D"/>
    <w:rsid w:val="0069129D"/>
    <w:rsid w:val="00691DE5"/>
    <w:rsid w:val="00692459"/>
    <w:rsid w:val="006928B3"/>
    <w:rsid w:val="00692D8C"/>
    <w:rsid w:val="00692EBE"/>
    <w:rsid w:val="006935BA"/>
    <w:rsid w:val="006940EA"/>
    <w:rsid w:val="00694DF7"/>
    <w:rsid w:val="006954DF"/>
    <w:rsid w:val="006954FF"/>
    <w:rsid w:val="00695B7B"/>
    <w:rsid w:val="006964CD"/>
    <w:rsid w:val="006965FC"/>
    <w:rsid w:val="0069690C"/>
    <w:rsid w:val="00696964"/>
    <w:rsid w:val="00696E7C"/>
    <w:rsid w:val="006A0513"/>
    <w:rsid w:val="006A105A"/>
    <w:rsid w:val="006A13B6"/>
    <w:rsid w:val="006A160A"/>
    <w:rsid w:val="006A1881"/>
    <w:rsid w:val="006A1ECB"/>
    <w:rsid w:val="006A25BF"/>
    <w:rsid w:val="006A2B9D"/>
    <w:rsid w:val="006A2F56"/>
    <w:rsid w:val="006A3322"/>
    <w:rsid w:val="006A3477"/>
    <w:rsid w:val="006A421A"/>
    <w:rsid w:val="006A42F3"/>
    <w:rsid w:val="006A4458"/>
    <w:rsid w:val="006A446E"/>
    <w:rsid w:val="006A458A"/>
    <w:rsid w:val="006A4A25"/>
    <w:rsid w:val="006A4B24"/>
    <w:rsid w:val="006A4C2C"/>
    <w:rsid w:val="006A5A36"/>
    <w:rsid w:val="006A7018"/>
    <w:rsid w:val="006B0A94"/>
    <w:rsid w:val="006B2F99"/>
    <w:rsid w:val="006B3B6E"/>
    <w:rsid w:val="006B3FB0"/>
    <w:rsid w:val="006B4892"/>
    <w:rsid w:val="006B4939"/>
    <w:rsid w:val="006B4B19"/>
    <w:rsid w:val="006B572D"/>
    <w:rsid w:val="006B574B"/>
    <w:rsid w:val="006B57A2"/>
    <w:rsid w:val="006B6ACF"/>
    <w:rsid w:val="006B6D43"/>
    <w:rsid w:val="006B719C"/>
    <w:rsid w:val="006B7A37"/>
    <w:rsid w:val="006B7AD9"/>
    <w:rsid w:val="006C0469"/>
    <w:rsid w:val="006C0684"/>
    <w:rsid w:val="006C1075"/>
    <w:rsid w:val="006C10BF"/>
    <w:rsid w:val="006C18F2"/>
    <w:rsid w:val="006C1987"/>
    <w:rsid w:val="006C1FF1"/>
    <w:rsid w:val="006C228E"/>
    <w:rsid w:val="006C4105"/>
    <w:rsid w:val="006C4158"/>
    <w:rsid w:val="006C4699"/>
    <w:rsid w:val="006C4837"/>
    <w:rsid w:val="006C4999"/>
    <w:rsid w:val="006C5DE5"/>
    <w:rsid w:val="006C6222"/>
    <w:rsid w:val="006C66BE"/>
    <w:rsid w:val="006C6818"/>
    <w:rsid w:val="006C6F1C"/>
    <w:rsid w:val="006C7342"/>
    <w:rsid w:val="006C7DBB"/>
    <w:rsid w:val="006D05EE"/>
    <w:rsid w:val="006D09B5"/>
    <w:rsid w:val="006D13C2"/>
    <w:rsid w:val="006D19ED"/>
    <w:rsid w:val="006D2CBF"/>
    <w:rsid w:val="006D3249"/>
    <w:rsid w:val="006D33C1"/>
    <w:rsid w:val="006D4396"/>
    <w:rsid w:val="006D466F"/>
    <w:rsid w:val="006D4742"/>
    <w:rsid w:val="006D4B4A"/>
    <w:rsid w:val="006D53FF"/>
    <w:rsid w:val="006D5520"/>
    <w:rsid w:val="006E04CC"/>
    <w:rsid w:val="006E0AEC"/>
    <w:rsid w:val="006E0C0C"/>
    <w:rsid w:val="006E0EBA"/>
    <w:rsid w:val="006E12A7"/>
    <w:rsid w:val="006E1CDF"/>
    <w:rsid w:val="006E1F05"/>
    <w:rsid w:val="006E2677"/>
    <w:rsid w:val="006E2A9D"/>
    <w:rsid w:val="006E34C5"/>
    <w:rsid w:val="006E46C2"/>
    <w:rsid w:val="006E4A90"/>
    <w:rsid w:val="006E4BC8"/>
    <w:rsid w:val="006E507D"/>
    <w:rsid w:val="006E569D"/>
    <w:rsid w:val="006E5ABE"/>
    <w:rsid w:val="006E6519"/>
    <w:rsid w:val="006E6D8C"/>
    <w:rsid w:val="006E6F7A"/>
    <w:rsid w:val="006E75B6"/>
    <w:rsid w:val="006E79D1"/>
    <w:rsid w:val="006E7E61"/>
    <w:rsid w:val="006F06D6"/>
    <w:rsid w:val="006F0D1F"/>
    <w:rsid w:val="006F143C"/>
    <w:rsid w:val="006F17B1"/>
    <w:rsid w:val="006F1B55"/>
    <w:rsid w:val="006F20A6"/>
    <w:rsid w:val="006F2BD2"/>
    <w:rsid w:val="006F2D2F"/>
    <w:rsid w:val="006F325A"/>
    <w:rsid w:val="006F4B09"/>
    <w:rsid w:val="006F4BE4"/>
    <w:rsid w:val="006F5184"/>
    <w:rsid w:val="006F564D"/>
    <w:rsid w:val="006F6202"/>
    <w:rsid w:val="006F68AC"/>
    <w:rsid w:val="006F7050"/>
    <w:rsid w:val="006F772A"/>
    <w:rsid w:val="0070014A"/>
    <w:rsid w:val="007006DF"/>
    <w:rsid w:val="00700709"/>
    <w:rsid w:val="00701BBC"/>
    <w:rsid w:val="007020AD"/>
    <w:rsid w:val="007026C9"/>
    <w:rsid w:val="00702A39"/>
    <w:rsid w:val="00702B63"/>
    <w:rsid w:val="0070332F"/>
    <w:rsid w:val="007033DC"/>
    <w:rsid w:val="00703625"/>
    <w:rsid w:val="007038B6"/>
    <w:rsid w:val="00703FA9"/>
    <w:rsid w:val="00704367"/>
    <w:rsid w:val="0070495A"/>
    <w:rsid w:val="00705AA6"/>
    <w:rsid w:val="007063F8"/>
    <w:rsid w:val="007067A0"/>
    <w:rsid w:val="007068E4"/>
    <w:rsid w:val="00706975"/>
    <w:rsid w:val="007070B0"/>
    <w:rsid w:val="00707B65"/>
    <w:rsid w:val="00707CEE"/>
    <w:rsid w:val="00707E19"/>
    <w:rsid w:val="00707F7F"/>
    <w:rsid w:val="0071014C"/>
    <w:rsid w:val="007104E9"/>
    <w:rsid w:val="00710EEC"/>
    <w:rsid w:val="007117D7"/>
    <w:rsid w:val="007128A8"/>
    <w:rsid w:val="0071337C"/>
    <w:rsid w:val="00713B24"/>
    <w:rsid w:val="00713C54"/>
    <w:rsid w:val="00713E53"/>
    <w:rsid w:val="00713E86"/>
    <w:rsid w:val="00714016"/>
    <w:rsid w:val="0071435D"/>
    <w:rsid w:val="00714B51"/>
    <w:rsid w:val="00715706"/>
    <w:rsid w:val="00715C55"/>
    <w:rsid w:val="00715EBF"/>
    <w:rsid w:val="00716BFB"/>
    <w:rsid w:val="00716EF9"/>
    <w:rsid w:val="00717908"/>
    <w:rsid w:val="0072065B"/>
    <w:rsid w:val="00720A1E"/>
    <w:rsid w:val="00720FDF"/>
    <w:rsid w:val="00721071"/>
    <w:rsid w:val="00721AAE"/>
    <w:rsid w:val="00721FA6"/>
    <w:rsid w:val="0072249F"/>
    <w:rsid w:val="007227EA"/>
    <w:rsid w:val="00722CB7"/>
    <w:rsid w:val="00723B13"/>
    <w:rsid w:val="00723D99"/>
    <w:rsid w:val="00724559"/>
    <w:rsid w:val="00724900"/>
    <w:rsid w:val="00725C32"/>
    <w:rsid w:val="00725E7D"/>
    <w:rsid w:val="00726181"/>
    <w:rsid w:val="00726923"/>
    <w:rsid w:val="00727CAB"/>
    <w:rsid w:val="0073035F"/>
    <w:rsid w:val="007304E8"/>
    <w:rsid w:val="007313E3"/>
    <w:rsid w:val="00731A57"/>
    <w:rsid w:val="00731AB3"/>
    <w:rsid w:val="0073289B"/>
    <w:rsid w:val="00732AE2"/>
    <w:rsid w:val="00732D3D"/>
    <w:rsid w:val="007337BF"/>
    <w:rsid w:val="00735336"/>
    <w:rsid w:val="00735AF3"/>
    <w:rsid w:val="00735C11"/>
    <w:rsid w:val="00735E9F"/>
    <w:rsid w:val="00736A75"/>
    <w:rsid w:val="00736BEC"/>
    <w:rsid w:val="00737398"/>
    <w:rsid w:val="007375B2"/>
    <w:rsid w:val="0073793C"/>
    <w:rsid w:val="00737A13"/>
    <w:rsid w:val="00737A3D"/>
    <w:rsid w:val="00737BEE"/>
    <w:rsid w:val="0074017D"/>
    <w:rsid w:val="0074037E"/>
    <w:rsid w:val="007404B4"/>
    <w:rsid w:val="00740FDD"/>
    <w:rsid w:val="0074109B"/>
    <w:rsid w:val="0074121E"/>
    <w:rsid w:val="0074209D"/>
    <w:rsid w:val="007422C3"/>
    <w:rsid w:val="00742652"/>
    <w:rsid w:val="00743017"/>
    <w:rsid w:val="00743189"/>
    <w:rsid w:val="00743449"/>
    <w:rsid w:val="0074353E"/>
    <w:rsid w:val="007437CC"/>
    <w:rsid w:val="00743999"/>
    <w:rsid w:val="00744001"/>
    <w:rsid w:val="0074522C"/>
    <w:rsid w:val="00745C6B"/>
    <w:rsid w:val="007463EF"/>
    <w:rsid w:val="00746516"/>
    <w:rsid w:val="00746905"/>
    <w:rsid w:val="007469DF"/>
    <w:rsid w:val="00746B8A"/>
    <w:rsid w:val="00746DB5"/>
    <w:rsid w:val="007474C2"/>
    <w:rsid w:val="00747601"/>
    <w:rsid w:val="00747B68"/>
    <w:rsid w:val="00750184"/>
    <w:rsid w:val="00750BD1"/>
    <w:rsid w:val="007515B5"/>
    <w:rsid w:val="00752682"/>
    <w:rsid w:val="00753139"/>
    <w:rsid w:val="00753F2A"/>
    <w:rsid w:val="00754C30"/>
    <w:rsid w:val="007556AE"/>
    <w:rsid w:val="007557BC"/>
    <w:rsid w:val="00756028"/>
    <w:rsid w:val="0075616F"/>
    <w:rsid w:val="0075644B"/>
    <w:rsid w:val="0075738C"/>
    <w:rsid w:val="007574CB"/>
    <w:rsid w:val="007574E1"/>
    <w:rsid w:val="00757683"/>
    <w:rsid w:val="0075768D"/>
    <w:rsid w:val="00757B6A"/>
    <w:rsid w:val="007605EE"/>
    <w:rsid w:val="00760945"/>
    <w:rsid w:val="0076120C"/>
    <w:rsid w:val="007613C7"/>
    <w:rsid w:val="0076149D"/>
    <w:rsid w:val="0076170E"/>
    <w:rsid w:val="00761B20"/>
    <w:rsid w:val="007629D8"/>
    <w:rsid w:val="00763157"/>
    <w:rsid w:val="00763574"/>
    <w:rsid w:val="00763891"/>
    <w:rsid w:val="007645CD"/>
    <w:rsid w:val="00764985"/>
    <w:rsid w:val="00764CE9"/>
    <w:rsid w:val="0076504E"/>
    <w:rsid w:val="0076518A"/>
    <w:rsid w:val="007653F2"/>
    <w:rsid w:val="0076558D"/>
    <w:rsid w:val="00765DE6"/>
    <w:rsid w:val="007661BA"/>
    <w:rsid w:val="0076657C"/>
    <w:rsid w:val="00766F49"/>
    <w:rsid w:val="00767516"/>
    <w:rsid w:val="00767595"/>
    <w:rsid w:val="007679F9"/>
    <w:rsid w:val="00770A01"/>
    <w:rsid w:val="007714C8"/>
    <w:rsid w:val="00771526"/>
    <w:rsid w:val="007729E6"/>
    <w:rsid w:val="00773786"/>
    <w:rsid w:val="007737D0"/>
    <w:rsid w:val="00773D97"/>
    <w:rsid w:val="00774CAC"/>
    <w:rsid w:val="00774E48"/>
    <w:rsid w:val="00774FB7"/>
    <w:rsid w:val="0077539A"/>
    <w:rsid w:val="007759B4"/>
    <w:rsid w:val="00775D41"/>
    <w:rsid w:val="00776230"/>
    <w:rsid w:val="007764AF"/>
    <w:rsid w:val="00776B7E"/>
    <w:rsid w:val="00777CBB"/>
    <w:rsid w:val="00777E40"/>
    <w:rsid w:val="00780378"/>
    <w:rsid w:val="00780621"/>
    <w:rsid w:val="007808CF"/>
    <w:rsid w:val="00780EE4"/>
    <w:rsid w:val="007827FC"/>
    <w:rsid w:val="00782E00"/>
    <w:rsid w:val="007832CC"/>
    <w:rsid w:val="00783C2E"/>
    <w:rsid w:val="00783EB7"/>
    <w:rsid w:val="00784497"/>
    <w:rsid w:val="00784679"/>
    <w:rsid w:val="007851DF"/>
    <w:rsid w:val="00785203"/>
    <w:rsid w:val="00785BFA"/>
    <w:rsid w:val="007868C8"/>
    <w:rsid w:val="00786D90"/>
    <w:rsid w:val="00787A78"/>
    <w:rsid w:val="00787F4D"/>
    <w:rsid w:val="0079024F"/>
    <w:rsid w:val="00790FD0"/>
    <w:rsid w:val="0079157E"/>
    <w:rsid w:val="00792242"/>
    <w:rsid w:val="0079293A"/>
    <w:rsid w:val="00792B22"/>
    <w:rsid w:val="0079386E"/>
    <w:rsid w:val="00794125"/>
    <w:rsid w:val="00794302"/>
    <w:rsid w:val="00794F66"/>
    <w:rsid w:val="0079771E"/>
    <w:rsid w:val="00797791"/>
    <w:rsid w:val="007979F3"/>
    <w:rsid w:val="00797C37"/>
    <w:rsid w:val="007A06C6"/>
    <w:rsid w:val="007A08A4"/>
    <w:rsid w:val="007A1059"/>
    <w:rsid w:val="007A1384"/>
    <w:rsid w:val="007A158C"/>
    <w:rsid w:val="007A1FBC"/>
    <w:rsid w:val="007A28A5"/>
    <w:rsid w:val="007A296A"/>
    <w:rsid w:val="007A3629"/>
    <w:rsid w:val="007A4915"/>
    <w:rsid w:val="007A4E3F"/>
    <w:rsid w:val="007A5437"/>
    <w:rsid w:val="007A5886"/>
    <w:rsid w:val="007A5ADC"/>
    <w:rsid w:val="007A5FA5"/>
    <w:rsid w:val="007A659F"/>
    <w:rsid w:val="007A675D"/>
    <w:rsid w:val="007A71D1"/>
    <w:rsid w:val="007A73FB"/>
    <w:rsid w:val="007A77F6"/>
    <w:rsid w:val="007A7F78"/>
    <w:rsid w:val="007B0312"/>
    <w:rsid w:val="007B169B"/>
    <w:rsid w:val="007B16DA"/>
    <w:rsid w:val="007B1B15"/>
    <w:rsid w:val="007B2B66"/>
    <w:rsid w:val="007B2C9A"/>
    <w:rsid w:val="007B30FE"/>
    <w:rsid w:val="007B323C"/>
    <w:rsid w:val="007B3E91"/>
    <w:rsid w:val="007B4C9A"/>
    <w:rsid w:val="007B5F78"/>
    <w:rsid w:val="007B6324"/>
    <w:rsid w:val="007B64C1"/>
    <w:rsid w:val="007B6535"/>
    <w:rsid w:val="007B6963"/>
    <w:rsid w:val="007B6B83"/>
    <w:rsid w:val="007B6DAC"/>
    <w:rsid w:val="007B7C33"/>
    <w:rsid w:val="007C0106"/>
    <w:rsid w:val="007C0F16"/>
    <w:rsid w:val="007C1315"/>
    <w:rsid w:val="007C1EB7"/>
    <w:rsid w:val="007C211F"/>
    <w:rsid w:val="007C2372"/>
    <w:rsid w:val="007C375E"/>
    <w:rsid w:val="007C3856"/>
    <w:rsid w:val="007C388D"/>
    <w:rsid w:val="007C3B93"/>
    <w:rsid w:val="007C4773"/>
    <w:rsid w:val="007C4CEA"/>
    <w:rsid w:val="007C5EE3"/>
    <w:rsid w:val="007C63CC"/>
    <w:rsid w:val="007C6904"/>
    <w:rsid w:val="007C6DE7"/>
    <w:rsid w:val="007C7772"/>
    <w:rsid w:val="007C7D3F"/>
    <w:rsid w:val="007D073A"/>
    <w:rsid w:val="007D0924"/>
    <w:rsid w:val="007D0BE6"/>
    <w:rsid w:val="007D1BCA"/>
    <w:rsid w:val="007D279A"/>
    <w:rsid w:val="007D459F"/>
    <w:rsid w:val="007D47AB"/>
    <w:rsid w:val="007D4A82"/>
    <w:rsid w:val="007D5F9C"/>
    <w:rsid w:val="007D6039"/>
    <w:rsid w:val="007D608A"/>
    <w:rsid w:val="007D6A94"/>
    <w:rsid w:val="007D7018"/>
    <w:rsid w:val="007E0685"/>
    <w:rsid w:val="007E0F88"/>
    <w:rsid w:val="007E1118"/>
    <w:rsid w:val="007E1652"/>
    <w:rsid w:val="007E1AD9"/>
    <w:rsid w:val="007E1D98"/>
    <w:rsid w:val="007E2E14"/>
    <w:rsid w:val="007E402B"/>
    <w:rsid w:val="007E47CF"/>
    <w:rsid w:val="007E5701"/>
    <w:rsid w:val="007E5BE1"/>
    <w:rsid w:val="007E6585"/>
    <w:rsid w:val="007E67D7"/>
    <w:rsid w:val="007E77FA"/>
    <w:rsid w:val="007E7AC1"/>
    <w:rsid w:val="007F0474"/>
    <w:rsid w:val="007F0D11"/>
    <w:rsid w:val="007F153A"/>
    <w:rsid w:val="007F1AAE"/>
    <w:rsid w:val="007F1D54"/>
    <w:rsid w:val="007F2560"/>
    <w:rsid w:val="007F25CF"/>
    <w:rsid w:val="007F2A2E"/>
    <w:rsid w:val="007F2B56"/>
    <w:rsid w:val="007F3046"/>
    <w:rsid w:val="007F35DA"/>
    <w:rsid w:val="007F452C"/>
    <w:rsid w:val="007F56FB"/>
    <w:rsid w:val="007F6907"/>
    <w:rsid w:val="007F7019"/>
    <w:rsid w:val="007F713E"/>
    <w:rsid w:val="007F7C61"/>
    <w:rsid w:val="0080059C"/>
    <w:rsid w:val="00800DC2"/>
    <w:rsid w:val="00801300"/>
    <w:rsid w:val="0080186D"/>
    <w:rsid w:val="00801E50"/>
    <w:rsid w:val="00802411"/>
    <w:rsid w:val="00802761"/>
    <w:rsid w:val="00803890"/>
    <w:rsid w:val="00803B87"/>
    <w:rsid w:val="00803E5D"/>
    <w:rsid w:val="00804463"/>
    <w:rsid w:val="008049B1"/>
    <w:rsid w:val="008050CA"/>
    <w:rsid w:val="008051A4"/>
    <w:rsid w:val="0080571D"/>
    <w:rsid w:val="008059D2"/>
    <w:rsid w:val="00805B55"/>
    <w:rsid w:val="00805FE4"/>
    <w:rsid w:val="00806292"/>
    <w:rsid w:val="00806D2F"/>
    <w:rsid w:val="00807533"/>
    <w:rsid w:val="00807FB7"/>
    <w:rsid w:val="0081031D"/>
    <w:rsid w:val="008104CA"/>
    <w:rsid w:val="00810A48"/>
    <w:rsid w:val="00810E79"/>
    <w:rsid w:val="00811290"/>
    <w:rsid w:val="00811416"/>
    <w:rsid w:val="0081369B"/>
    <w:rsid w:val="00813E4E"/>
    <w:rsid w:val="008141A1"/>
    <w:rsid w:val="0081481A"/>
    <w:rsid w:val="00814824"/>
    <w:rsid w:val="00814C0E"/>
    <w:rsid w:val="00814C26"/>
    <w:rsid w:val="00814CB0"/>
    <w:rsid w:val="0081622C"/>
    <w:rsid w:val="0081663B"/>
    <w:rsid w:val="00817B6D"/>
    <w:rsid w:val="00820927"/>
    <w:rsid w:val="00820951"/>
    <w:rsid w:val="008213FA"/>
    <w:rsid w:val="00821F2C"/>
    <w:rsid w:val="008227AD"/>
    <w:rsid w:val="0082392C"/>
    <w:rsid w:val="00823C87"/>
    <w:rsid w:val="00824EB9"/>
    <w:rsid w:val="0082521D"/>
    <w:rsid w:val="0082522F"/>
    <w:rsid w:val="00825DD9"/>
    <w:rsid w:val="0082676D"/>
    <w:rsid w:val="008276A4"/>
    <w:rsid w:val="00827BF6"/>
    <w:rsid w:val="008301B8"/>
    <w:rsid w:val="0083108F"/>
    <w:rsid w:val="008315C1"/>
    <w:rsid w:val="008318A9"/>
    <w:rsid w:val="008321A4"/>
    <w:rsid w:val="0083269B"/>
    <w:rsid w:val="00832770"/>
    <w:rsid w:val="00832933"/>
    <w:rsid w:val="008333A3"/>
    <w:rsid w:val="008333D9"/>
    <w:rsid w:val="0083352B"/>
    <w:rsid w:val="0083376F"/>
    <w:rsid w:val="00833908"/>
    <w:rsid w:val="00833A5B"/>
    <w:rsid w:val="00833BE8"/>
    <w:rsid w:val="00834525"/>
    <w:rsid w:val="0083489F"/>
    <w:rsid w:val="00834B66"/>
    <w:rsid w:val="00835772"/>
    <w:rsid w:val="00835919"/>
    <w:rsid w:val="00835B32"/>
    <w:rsid w:val="00835BB1"/>
    <w:rsid w:val="008361D3"/>
    <w:rsid w:val="008362BF"/>
    <w:rsid w:val="008369B8"/>
    <w:rsid w:val="008370F5"/>
    <w:rsid w:val="00837E84"/>
    <w:rsid w:val="00837FE4"/>
    <w:rsid w:val="008400B3"/>
    <w:rsid w:val="008406D5"/>
    <w:rsid w:val="00840E06"/>
    <w:rsid w:val="00841261"/>
    <w:rsid w:val="00841278"/>
    <w:rsid w:val="008414E5"/>
    <w:rsid w:val="008415B4"/>
    <w:rsid w:val="008425B3"/>
    <w:rsid w:val="008425B8"/>
    <w:rsid w:val="008430F8"/>
    <w:rsid w:val="0084359F"/>
    <w:rsid w:val="00843E9C"/>
    <w:rsid w:val="00843F42"/>
    <w:rsid w:val="0084433E"/>
    <w:rsid w:val="00844A4E"/>
    <w:rsid w:val="00844B4A"/>
    <w:rsid w:val="00844B94"/>
    <w:rsid w:val="00844DBA"/>
    <w:rsid w:val="00844EA7"/>
    <w:rsid w:val="008455AE"/>
    <w:rsid w:val="0084594E"/>
    <w:rsid w:val="00845C74"/>
    <w:rsid w:val="00846024"/>
    <w:rsid w:val="00846260"/>
    <w:rsid w:val="008463A8"/>
    <w:rsid w:val="0084644B"/>
    <w:rsid w:val="0084676E"/>
    <w:rsid w:val="00846924"/>
    <w:rsid w:val="0084719A"/>
    <w:rsid w:val="00847C91"/>
    <w:rsid w:val="00850114"/>
    <w:rsid w:val="00850734"/>
    <w:rsid w:val="00850B71"/>
    <w:rsid w:val="00850F2D"/>
    <w:rsid w:val="008511DC"/>
    <w:rsid w:val="00851221"/>
    <w:rsid w:val="008514F5"/>
    <w:rsid w:val="0085238F"/>
    <w:rsid w:val="0085294C"/>
    <w:rsid w:val="0085367C"/>
    <w:rsid w:val="0085393F"/>
    <w:rsid w:val="00853A17"/>
    <w:rsid w:val="00853B6D"/>
    <w:rsid w:val="00853EB5"/>
    <w:rsid w:val="00854DF9"/>
    <w:rsid w:val="00854F47"/>
    <w:rsid w:val="0085538C"/>
    <w:rsid w:val="00855539"/>
    <w:rsid w:val="00855C56"/>
    <w:rsid w:val="00855F6F"/>
    <w:rsid w:val="00856570"/>
    <w:rsid w:val="008565DD"/>
    <w:rsid w:val="00856CB0"/>
    <w:rsid w:val="00856ECA"/>
    <w:rsid w:val="00857958"/>
    <w:rsid w:val="00857BD6"/>
    <w:rsid w:val="00857C90"/>
    <w:rsid w:val="0086160E"/>
    <w:rsid w:val="0086164C"/>
    <w:rsid w:val="00861D4D"/>
    <w:rsid w:val="00863087"/>
    <w:rsid w:val="0086308A"/>
    <w:rsid w:val="00863262"/>
    <w:rsid w:val="008637D1"/>
    <w:rsid w:val="00863BA5"/>
    <w:rsid w:val="00863FEC"/>
    <w:rsid w:val="00864664"/>
    <w:rsid w:val="008647B1"/>
    <w:rsid w:val="008648B3"/>
    <w:rsid w:val="00864F8A"/>
    <w:rsid w:val="00866713"/>
    <w:rsid w:val="0086683E"/>
    <w:rsid w:val="0086686C"/>
    <w:rsid w:val="0087072B"/>
    <w:rsid w:val="008707A8"/>
    <w:rsid w:val="00871187"/>
    <w:rsid w:val="008711D0"/>
    <w:rsid w:val="00871268"/>
    <w:rsid w:val="00871308"/>
    <w:rsid w:val="008721A3"/>
    <w:rsid w:val="00872F89"/>
    <w:rsid w:val="0087301E"/>
    <w:rsid w:val="00874A69"/>
    <w:rsid w:val="00875CB8"/>
    <w:rsid w:val="00875D39"/>
    <w:rsid w:val="00876AEB"/>
    <w:rsid w:val="00880126"/>
    <w:rsid w:val="00880C87"/>
    <w:rsid w:val="008816D7"/>
    <w:rsid w:val="008819F3"/>
    <w:rsid w:val="00881A43"/>
    <w:rsid w:val="00881AC9"/>
    <w:rsid w:val="00881C7A"/>
    <w:rsid w:val="00881E8D"/>
    <w:rsid w:val="00882163"/>
    <w:rsid w:val="008825CF"/>
    <w:rsid w:val="00882B2F"/>
    <w:rsid w:val="008838A1"/>
    <w:rsid w:val="00883BED"/>
    <w:rsid w:val="00883E3E"/>
    <w:rsid w:val="0088460A"/>
    <w:rsid w:val="00884CA8"/>
    <w:rsid w:val="008850AC"/>
    <w:rsid w:val="00885B73"/>
    <w:rsid w:val="00885DB6"/>
    <w:rsid w:val="00886772"/>
    <w:rsid w:val="008868CF"/>
    <w:rsid w:val="00886B40"/>
    <w:rsid w:val="00886DF3"/>
    <w:rsid w:val="00887024"/>
    <w:rsid w:val="008871EB"/>
    <w:rsid w:val="00887353"/>
    <w:rsid w:val="008879D0"/>
    <w:rsid w:val="00887AA1"/>
    <w:rsid w:val="00887D12"/>
    <w:rsid w:val="00890D5B"/>
    <w:rsid w:val="008916A0"/>
    <w:rsid w:val="008918C9"/>
    <w:rsid w:val="00892C3B"/>
    <w:rsid w:val="00892C4B"/>
    <w:rsid w:val="00892E2F"/>
    <w:rsid w:val="008930B3"/>
    <w:rsid w:val="0089332F"/>
    <w:rsid w:val="00893353"/>
    <w:rsid w:val="00893542"/>
    <w:rsid w:val="0089395D"/>
    <w:rsid w:val="00893B0E"/>
    <w:rsid w:val="00893E65"/>
    <w:rsid w:val="0089462F"/>
    <w:rsid w:val="0089492F"/>
    <w:rsid w:val="00894B50"/>
    <w:rsid w:val="00894C0B"/>
    <w:rsid w:val="008955AB"/>
    <w:rsid w:val="0089597C"/>
    <w:rsid w:val="008962C6"/>
    <w:rsid w:val="00896501"/>
    <w:rsid w:val="00896BD9"/>
    <w:rsid w:val="00897245"/>
    <w:rsid w:val="0089764E"/>
    <w:rsid w:val="00897F58"/>
    <w:rsid w:val="008A0EB8"/>
    <w:rsid w:val="008A0ED8"/>
    <w:rsid w:val="008A16B5"/>
    <w:rsid w:val="008A1C34"/>
    <w:rsid w:val="008A1F1F"/>
    <w:rsid w:val="008A1F35"/>
    <w:rsid w:val="008A25DB"/>
    <w:rsid w:val="008A2717"/>
    <w:rsid w:val="008A2890"/>
    <w:rsid w:val="008A293F"/>
    <w:rsid w:val="008A2D23"/>
    <w:rsid w:val="008A2F76"/>
    <w:rsid w:val="008A33AA"/>
    <w:rsid w:val="008A36C5"/>
    <w:rsid w:val="008A4875"/>
    <w:rsid w:val="008A4A6D"/>
    <w:rsid w:val="008A5387"/>
    <w:rsid w:val="008A580E"/>
    <w:rsid w:val="008A65EF"/>
    <w:rsid w:val="008A6704"/>
    <w:rsid w:val="008A6A5B"/>
    <w:rsid w:val="008A6F80"/>
    <w:rsid w:val="008A7673"/>
    <w:rsid w:val="008A7870"/>
    <w:rsid w:val="008A7A01"/>
    <w:rsid w:val="008A7DB7"/>
    <w:rsid w:val="008A7DCE"/>
    <w:rsid w:val="008B0623"/>
    <w:rsid w:val="008B0EA1"/>
    <w:rsid w:val="008B125D"/>
    <w:rsid w:val="008B13BB"/>
    <w:rsid w:val="008B1536"/>
    <w:rsid w:val="008B285E"/>
    <w:rsid w:val="008B2B85"/>
    <w:rsid w:val="008B2CCE"/>
    <w:rsid w:val="008B2F1D"/>
    <w:rsid w:val="008B2FF4"/>
    <w:rsid w:val="008B35CD"/>
    <w:rsid w:val="008B3C1D"/>
    <w:rsid w:val="008B3CEA"/>
    <w:rsid w:val="008B44D7"/>
    <w:rsid w:val="008B46B5"/>
    <w:rsid w:val="008B4AA0"/>
    <w:rsid w:val="008B4AE8"/>
    <w:rsid w:val="008B4B4C"/>
    <w:rsid w:val="008B5187"/>
    <w:rsid w:val="008B5590"/>
    <w:rsid w:val="008B5D4B"/>
    <w:rsid w:val="008B634E"/>
    <w:rsid w:val="008B64E0"/>
    <w:rsid w:val="008B6BBA"/>
    <w:rsid w:val="008B75C9"/>
    <w:rsid w:val="008C0C6D"/>
    <w:rsid w:val="008C153C"/>
    <w:rsid w:val="008C1C05"/>
    <w:rsid w:val="008C29CD"/>
    <w:rsid w:val="008C2C4B"/>
    <w:rsid w:val="008C35D0"/>
    <w:rsid w:val="008C39DC"/>
    <w:rsid w:val="008C4590"/>
    <w:rsid w:val="008C4699"/>
    <w:rsid w:val="008C5270"/>
    <w:rsid w:val="008C5417"/>
    <w:rsid w:val="008D0286"/>
    <w:rsid w:val="008D0358"/>
    <w:rsid w:val="008D040C"/>
    <w:rsid w:val="008D0881"/>
    <w:rsid w:val="008D0FDE"/>
    <w:rsid w:val="008D11FB"/>
    <w:rsid w:val="008D1E89"/>
    <w:rsid w:val="008D2619"/>
    <w:rsid w:val="008D2A68"/>
    <w:rsid w:val="008D3525"/>
    <w:rsid w:val="008D36CC"/>
    <w:rsid w:val="008D4D9D"/>
    <w:rsid w:val="008D53C8"/>
    <w:rsid w:val="008D5EDE"/>
    <w:rsid w:val="008D6CFD"/>
    <w:rsid w:val="008D6D40"/>
    <w:rsid w:val="008D737F"/>
    <w:rsid w:val="008D7B02"/>
    <w:rsid w:val="008D7D28"/>
    <w:rsid w:val="008D7DD3"/>
    <w:rsid w:val="008E00DC"/>
    <w:rsid w:val="008E07C6"/>
    <w:rsid w:val="008E11F3"/>
    <w:rsid w:val="008E262C"/>
    <w:rsid w:val="008E278D"/>
    <w:rsid w:val="008E2FBD"/>
    <w:rsid w:val="008E3024"/>
    <w:rsid w:val="008E3066"/>
    <w:rsid w:val="008E3528"/>
    <w:rsid w:val="008E3648"/>
    <w:rsid w:val="008E3F37"/>
    <w:rsid w:val="008E3F92"/>
    <w:rsid w:val="008E413F"/>
    <w:rsid w:val="008E4201"/>
    <w:rsid w:val="008E49DD"/>
    <w:rsid w:val="008E49FD"/>
    <w:rsid w:val="008E5E82"/>
    <w:rsid w:val="008F04A4"/>
    <w:rsid w:val="008F0673"/>
    <w:rsid w:val="008F08AF"/>
    <w:rsid w:val="008F13BE"/>
    <w:rsid w:val="008F13DA"/>
    <w:rsid w:val="008F1850"/>
    <w:rsid w:val="008F3647"/>
    <w:rsid w:val="008F37E8"/>
    <w:rsid w:val="008F3932"/>
    <w:rsid w:val="008F394E"/>
    <w:rsid w:val="008F3E5E"/>
    <w:rsid w:val="008F4F1F"/>
    <w:rsid w:val="008F4F40"/>
    <w:rsid w:val="008F536D"/>
    <w:rsid w:val="008F567F"/>
    <w:rsid w:val="008F57E2"/>
    <w:rsid w:val="008F5D63"/>
    <w:rsid w:val="008F5EB5"/>
    <w:rsid w:val="008F6018"/>
    <w:rsid w:val="008F6A39"/>
    <w:rsid w:val="008F6D13"/>
    <w:rsid w:val="008F6DCA"/>
    <w:rsid w:val="008F72E0"/>
    <w:rsid w:val="008F77B4"/>
    <w:rsid w:val="008F7ED0"/>
    <w:rsid w:val="008F7FFC"/>
    <w:rsid w:val="00900206"/>
    <w:rsid w:val="0090059B"/>
    <w:rsid w:val="00900976"/>
    <w:rsid w:val="00900CD2"/>
    <w:rsid w:val="009012D5"/>
    <w:rsid w:val="009015D3"/>
    <w:rsid w:val="00901A94"/>
    <w:rsid w:val="009035B1"/>
    <w:rsid w:val="00903684"/>
    <w:rsid w:val="009038C6"/>
    <w:rsid w:val="00903D8A"/>
    <w:rsid w:val="0090416D"/>
    <w:rsid w:val="00905DB5"/>
    <w:rsid w:val="00906C56"/>
    <w:rsid w:val="00906E1F"/>
    <w:rsid w:val="0090746B"/>
    <w:rsid w:val="00907663"/>
    <w:rsid w:val="009100E1"/>
    <w:rsid w:val="00910231"/>
    <w:rsid w:val="0091226B"/>
    <w:rsid w:val="00912304"/>
    <w:rsid w:val="0091257E"/>
    <w:rsid w:val="00912EA6"/>
    <w:rsid w:val="00913149"/>
    <w:rsid w:val="00913636"/>
    <w:rsid w:val="00913B76"/>
    <w:rsid w:val="00913D0F"/>
    <w:rsid w:val="00914487"/>
    <w:rsid w:val="0091467A"/>
    <w:rsid w:val="00915077"/>
    <w:rsid w:val="00915B9A"/>
    <w:rsid w:val="00916344"/>
    <w:rsid w:val="009168E4"/>
    <w:rsid w:val="00917CD9"/>
    <w:rsid w:val="00921BAD"/>
    <w:rsid w:val="00921F58"/>
    <w:rsid w:val="0092246B"/>
    <w:rsid w:val="0092259D"/>
    <w:rsid w:val="0092479B"/>
    <w:rsid w:val="0092542B"/>
    <w:rsid w:val="009256F6"/>
    <w:rsid w:val="00925A00"/>
    <w:rsid w:val="00925D39"/>
    <w:rsid w:val="00926438"/>
    <w:rsid w:val="0092643D"/>
    <w:rsid w:val="009267DA"/>
    <w:rsid w:val="0092686C"/>
    <w:rsid w:val="00926C40"/>
    <w:rsid w:val="009274DF"/>
    <w:rsid w:val="00927572"/>
    <w:rsid w:val="0093020D"/>
    <w:rsid w:val="00930E1A"/>
    <w:rsid w:val="00931056"/>
    <w:rsid w:val="009313D6"/>
    <w:rsid w:val="00931A9A"/>
    <w:rsid w:val="00931E6B"/>
    <w:rsid w:val="00931F3D"/>
    <w:rsid w:val="009320A6"/>
    <w:rsid w:val="00932183"/>
    <w:rsid w:val="00932190"/>
    <w:rsid w:val="00932224"/>
    <w:rsid w:val="0093322F"/>
    <w:rsid w:val="00933793"/>
    <w:rsid w:val="00933B42"/>
    <w:rsid w:val="0093435C"/>
    <w:rsid w:val="00934419"/>
    <w:rsid w:val="00934B9C"/>
    <w:rsid w:val="00934CBA"/>
    <w:rsid w:val="00934E6F"/>
    <w:rsid w:val="0093520A"/>
    <w:rsid w:val="0093575F"/>
    <w:rsid w:val="009357E9"/>
    <w:rsid w:val="00935D52"/>
    <w:rsid w:val="0093646B"/>
    <w:rsid w:val="00936662"/>
    <w:rsid w:val="00936810"/>
    <w:rsid w:val="00936A72"/>
    <w:rsid w:val="00936BDB"/>
    <w:rsid w:val="00936FAA"/>
    <w:rsid w:val="00937ACA"/>
    <w:rsid w:val="009406B4"/>
    <w:rsid w:val="00940796"/>
    <w:rsid w:val="00940A3A"/>
    <w:rsid w:val="009411D4"/>
    <w:rsid w:val="009416DE"/>
    <w:rsid w:val="00941E68"/>
    <w:rsid w:val="0094227F"/>
    <w:rsid w:val="009423DE"/>
    <w:rsid w:val="0094263E"/>
    <w:rsid w:val="00942B62"/>
    <w:rsid w:val="00942DF2"/>
    <w:rsid w:val="00943A10"/>
    <w:rsid w:val="009441D0"/>
    <w:rsid w:val="00944889"/>
    <w:rsid w:val="00945151"/>
    <w:rsid w:val="00945164"/>
    <w:rsid w:val="00945AF5"/>
    <w:rsid w:val="00945E2D"/>
    <w:rsid w:val="00946428"/>
    <w:rsid w:val="009471A3"/>
    <w:rsid w:val="009472FF"/>
    <w:rsid w:val="00947325"/>
    <w:rsid w:val="00947BE9"/>
    <w:rsid w:val="00950116"/>
    <w:rsid w:val="0095060B"/>
    <w:rsid w:val="00950FB4"/>
    <w:rsid w:val="00951609"/>
    <w:rsid w:val="009516E7"/>
    <w:rsid w:val="00952162"/>
    <w:rsid w:val="009521C7"/>
    <w:rsid w:val="00952326"/>
    <w:rsid w:val="00952A38"/>
    <w:rsid w:val="00952AF4"/>
    <w:rsid w:val="0095321C"/>
    <w:rsid w:val="00953363"/>
    <w:rsid w:val="00953965"/>
    <w:rsid w:val="00953C11"/>
    <w:rsid w:val="00955134"/>
    <w:rsid w:val="0095567F"/>
    <w:rsid w:val="009556C6"/>
    <w:rsid w:val="00955CD4"/>
    <w:rsid w:val="00956172"/>
    <w:rsid w:val="009566D0"/>
    <w:rsid w:val="00956E5C"/>
    <w:rsid w:val="00957185"/>
    <w:rsid w:val="009577D2"/>
    <w:rsid w:val="00957803"/>
    <w:rsid w:val="009603F7"/>
    <w:rsid w:val="009606DC"/>
    <w:rsid w:val="009609D7"/>
    <w:rsid w:val="00960F70"/>
    <w:rsid w:val="00961FD8"/>
    <w:rsid w:val="00962029"/>
    <w:rsid w:val="00962215"/>
    <w:rsid w:val="009623A6"/>
    <w:rsid w:val="009626A1"/>
    <w:rsid w:val="00962B01"/>
    <w:rsid w:val="00962F5E"/>
    <w:rsid w:val="009630A2"/>
    <w:rsid w:val="009630F0"/>
    <w:rsid w:val="009633F6"/>
    <w:rsid w:val="0096361D"/>
    <w:rsid w:val="009638F5"/>
    <w:rsid w:val="00964399"/>
    <w:rsid w:val="00964C84"/>
    <w:rsid w:val="00964E24"/>
    <w:rsid w:val="009650BC"/>
    <w:rsid w:val="00965474"/>
    <w:rsid w:val="00965C43"/>
    <w:rsid w:val="00966569"/>
    <w:rsid w:val="00966DD5"/>
    <w:rsid w:val="00966F40"/>
    <w:rsid w:val="00967247"/>
    <w:rsid w:val="00967652"/>
    <w:rsid w:val="00967769"/>
    <w:rsid w:val="0097007C"/>
    <w:rsid w:val="009703DA"/>
    <w:rsid w:val="00970D6F"/>
    <w:rsid w:val="00970E26"/>
    <w:rsid w:val="0097112E"/>
    <w:rsid w:val="00972143"/>
    <w:rsid w:val="009731D2"/>
    <w:rsid w:val="009733B9"/>
    <w:rsid w:val="00973FF6"/>
    <w:rsid w:val="00974935"/>
    <w:rsid w:val="0097623C"/>
    <w:rsid w:val="00976382"/>
    <w:rsid w:val="00976B98"/>
    <w:rsid w:val="00977DA7"/>
    <w:rsid w:val="009803C6"/>
    <w:rsid w:val="00980E85"/>
    <w:rsid w:val="00980E86"/>
    <w:rsid w:val="0098133D"/>
    <w:rsid w:val="009813C7"/>
    <w:rsid w:val="00981576"/>
    <w:rsid w:val="00981782"/>
    <w:rsid w:val="0098194A"/>
    <w:rsid w:val="00981A41"/>
    <w:rsid w:val="009830EE"/>
    <w:rsid w:val="0098389D"/>
    <w:rsid w:val="00983A83"/>
    <w:rsid w:val="00983CB3"/>
    <w:rsid w:val="00983CD5"/>
    <w:rsid w:val="00983D65"/>
    <w:rsid w:val="00984321"/>
    <w:rsid w:val="00984D09"/>
    <w:rsid w:val="0098593E"/>
    <w:rsid w:val="00986448"/>
    <w:rsid w:val="00986F3A"/>
    <w:rsid w:val="00987688"/>
    <w:rsid w:val="00987D46"/>
    <w:rsid w:val="0099015D"/>
    <w:rsid w:val="00990F05"/>
    <w:rsid w:val="009915A4"/>
    <w:rsid w:val="00991A10"/>
    <w:rsid w:val="00992450"/>
    <w:rsid w:val="009926E4"/>
    <w:rsid w:val="00992E45"/>
    <w:rsid w:val="0099330F"/>
    <w:rsid w:val="0099351D"/>
    <w:rsid w:val="00993B1D"/>
    <w:rsid w:val="00993BFD"/>
    <w:rsid w:val="00993F11"/>
    <w:rsid w:val="00993FB5"/>
    <w:rsid w:val="00994547"/>
    <w:rsid w:val="00995074"/>
    <w:rsid w:val="00995329"/>
    <w:rsid w:val="009957CC"/>
    <w:rsid w:val="00996182"/>
    <w:rsid w:val="0099662C"/>
    <w:rsid w:val="00996E73"/>
    <w:rsid w:val="00996FEC"/>
    <w:rsid w:val="0099707F"/>
    <w:rsid w:val="00997791"/>
    <w:rsid w:val="0099796C"/>
    <w:rsid w:val="009A00CF"/>
    <w:rsid w:val="009A05CA"/>
    <w:rsid w:val="009A12C9"/>
    <w:rsid w:val="009A1685"/>
    <w:rsid w:val="009A1686"/>
    <w:rsid w:val="009A1781"/>
    <w:rsid w:val="009A1DAA"/>
    <w:rsid w:val="009A22C0"/>
    <w:rsid w:val="009A2377"/>
    <w:rsid w:val="009A2C23"/>
    <w:rsid w:val="009A2F6E"/>
    <w:rsid w:val="009A32D3"/>
    <w:rsid w:val="009A331E"/>
    <w:rsid w:val="009A350F"/>
    <w:rsid w:val="009A3A4E"/>
    <w:rsid w:val="009A3CE1"/>
    <w:rsid w:val="009A3EE8"/>
    <w:rsid w:val="009A4D39"/>
    <w:rsid w:val="009A5245"/>
    <w:rsid w:val="009A5EC6"/>
    <w:rsid w:val="009A679F"/>
    <w:rsid w:val="009A69BC"/>
    <w:rsid w:val="009A7125"/>
    <w:rsid w:val="009A73E9"/>
    <w:rsid w:val="009A76B4"/>
    <w:rsid w:val="009B0163"/>
    <w:rsid w:val="009B1594"/>
    <w:rsid w:val="009B2102"/>
    <w:rsid w:val="009B24D4"/>
    <w:rsid w:val="009B280B"/>
    <w:rsid w:val="009B442F"/>
    <w:rsid w:val="009B4702"/>
    <w:rsid w:val="009B50C3"/>
    <w:rsid w:val="009B5A8F"/>
    <w:rsid w:val="009B65E3"/>
    <w:rsid w:val="009B660E"/>
    <w:rsid w:val="009B6887"/>
    <w:rsid w:val="009B6B54"/>
    <w:rsid w:val="009B6CAF"/>
    <w:rsid w:val="009B745D"/>
    <w:rsid w:val="009B74D5"/>
    <w:rsid w:val="009B7735"/>
    <w:rsid w:val="009B780E"/>
    <w:rsid w:val="009B7907"/>
    <w:rsid w:val="009B7B51"/>
    <w:rsid w:val="009B7D20"/>
    <w:rsid w:val="009B7D84"/>
    <w:rsid w:val="009C0E52"/>
    <w:rsid w:val="009C0E7B"/>
    <w:rsid w:val="009C16B7"/>
    <w:rsid w:val="009C1854"/>
    <w:rsid w:val="009C1D4C"/>
    <w:rsid w:val="009C1FBF"/>
    <w:rsid w:val="009C2083"/>
    <w:rsid w:val="009C2AE2"/>
    <w:rsid w:val="009C2BC3"/>
    <w:rsid w:val="009C2CA9"/>
    <w:rsid w:val="009C3BF9"/>
    <w:rsid w:val="009C3E18"/>
    <w:rsid w:val="009C4060"/>
    <w:rsid w:val="009C41A3"/>
    <w:rsid w:val="009C41C5"/>
    <w:rsid w:val="009C544A"/>
    <w:rsid w:val="009C55C8"/>
    <w:rsid w:val="009C574A"/>
    <w:rsid w:val="009C6C54"/>
    <w:rsid w:val="009C6D5A"/>
    <w:rsid w:val="009C70FB"/>
    <w:rsid w:val="009D0D3F"/>
    <w:rsid w:val="009D235C"/>
    <w:rsid w:val="009D25C6"/>
    <w:rsid w:val="009D26F5"/>
    <w:rsid w:val="009D27ED"/>
    <w:rsid w:val="009D289C"/>
    <w:rsid w:val="009D2EB2"/>
    <w:rsid w:val="009D3218"/>
    <w:rsid w:val="009D35EF"/>
    <w:rsid w:val="009D36C5"/>
    <w:rsid w:val="009D424B"/>
    <w:rsid w:val="009D426F"/>
    <w:rsid w:val="009D446C"/>
    <w:rsid w:val="009D463F"/>
    <w:rsid w:val="009D4BFE"/>
    <w:rsid w:val="009D5033"/>
    <w:rsid w:val="009D542F"/>
    <w:rsid w:val="009D5DCF"/>
    <w:rsid w:val="009D653A"/>
    <w:rsid w:val="009D6861"/>
    <w:rsid w:val="009D750C"/>
    <w:rsid w:val="009D7543"/>
    <w:rsid w:val="009D76DB"/>
    <w:rsid w:val="009D78F4"/>
    <w:rsid w:val="009D7B9D"/>
    <w:rsid w:val="009D7E66"/>
    <w:rsid w:val="009E0021"/>
    <w:rsid w:val="009E0813"/>
    <w:rsid w:val="009E0C5B"/>
    <w:rsid w:val="009E1D7E"/>
    <w:rsid w:val="009E286C"/>
    <w:rsid w:val="009E2C44"/>
    <w:rsid w:val="009E2CD6"/>
    <w:rsid w:val="009E3083"/>
    <w:rsid w:val="009E490C"/>
    <w:rsid w:val="009E56A9"/>
    <w:rsid w:val="009E5813"/>
    <w:rsid w:val="009E689E"/>
    <w:rsid w:val="009E6B8F"/>
    <w:rsid w:val="009E70FC"/>
    <w:rsid w:val="009E7482"/>
    <w:rsid w:val="009E76CC"/>
    <w:rsid w:val="009E7BF6"/>
    <w:rsid w:val="009E7BF9"/>
    <w:rsid w:val="009F03EF"/>
    <w:rsid w:val="009F0EBE"/>
    <w:rsid w:val="009F1901"/>
    <w:rsid w:val="009F1B1C"/>
    <w:rsid w:val="009F27A8"/>
    <w:rsid w:val="009F292C"/>
    <w:rsid w:val="009F2DD6"/>
    <w:rsid w:val="009F2F25"/>
    <w:rsid w:val="009F30E6"/>
    <w:rsid w:val="009F33F7"/>
    <w:rsid w:val="009F3BF2"/>
    <w:rsid w:val="009F3C9D"/>
    <w:rsid w:val="009F46B5"/>
    <w:rsid w:val="009F515A"/>
    <w:rsid w:val="009F53DB"/>
    <w:rsid w:val="009F54EC"/>
    <w:rsid w:val="009F5893"/>
    <w:rsid w:val="009F5C40"/>
    <w:rsid w:val="009F6DE8"/>
    <w:rsid w:val="009F705B"/>
    <w:rsid w:val="009F7C36"/>
    <w:rsid w:val="00A000B6"/>
    <w:rsid w:val="00A00A4A"/>
    <w:rsid w:val="00A01B9B"/>
    <w:rsid w:val="00A01C6B"/>
    <w:rsid w:val="00A0215B"/>
    <w:rsid w:val="00A02396"/>
    <w:rsid w:val="00A02891"/>
    <w:rsid w:val="00A029A1"/>
    <w:rsid w:val="00A02BC9"/>
    <w:rsid w:val="00A02F19"/>
    <w:rsid w:val="00A044DF"/>
    <w:rsid w:val="00A04DF1"/>
    <w:rsid w:val="00A04F5B"/>
    <w:rsid w:val="00A04FD6"/>
    <w:rsid w:val="00A05144"/>
    <w:rsid w:val="00A0539C"/>
    <w:rsid w:val="00A057AA"/>
    <w:rsid w:val="00A059F9"/>
    <w:rsid w:val="00A061B5"/>
    <w:rsid w:val="00A062C7"/>
    <w:rsid w:val="00A074C6"/>
    <w:rsid w:val="00A07A2D"/>
    <w:rsid w:val="00A07A6B"/>
    <w:rsid w:val="00A07B45"/>
    <w:rsid w:val="00A07BA7"/>
    <w:rsid w:val="00A07DFE"/>
    <w:rsid w:val="00A07FB9"/>
    <w:rsid w:val="00A1038A"/>
    <w:rsid w:val="00A10CE4"/>
    <w:rsid w:val="00A10CED"/>
    <w:rsid w:val="00A10D1C"/>
    <w:rsid w:val="00A110DA"/>
    <w:rsid w:val="00A113B0"/>
    <w:rsid w:val="00A13F0D"/>
    <w:rsid w:val="00A1492C"/>
    <w:rsid w:val="00A14C09"/>
    <w:rsid w:val="00A154A7"/>
    <w:rsid w:val="00A16D4F"/>
    <w:rsid w:val="00A176A7"/>
    <w:rsid w:val="00A17838"/>
    <w:rsid w:val="00A20116"/>
    <w:rsid w:val="00A21032"/>
    <w:rsid w:val="00A21559"/>
    <w:rsid w:val="00A2172C"/>
    <w:rsid w:val="00A219CC"/>
    <w:rsid w:val="00A2253E"/>
    <w:rsid w:val="00A22716"/>
    <w:rsid w:val="00A229C1"/>
    <w:rsid w:val="00A23149"/>
    <w:rsid w:val="00A23828"/>
    <w:rsid w:val="00A23865"/>
    <w:rsid w:val="00A2401E"/>
    <w:rsid w:val="00A2489A"/>
    <w:rsid w:val="00A25EC1"/>
    <w:rsid w:val="00A2637F"/>
    <w:rsid w:val="00A26884"/>
    <w:rsid w:val="00A276DA"/>
    <w:rsid w:val="00A308B5"/>
    <w:rsid w:val="00A30CAC"/>
    <w:rsid w:val="00A31229"/>
    <w:rsid w:val="00A316BF"/>
    <w:rsid w:val="00A31E8B"/>
    <w:rsid w:val="00A32B47"/>
    <w:rsid w:val="00A33004"/>
    <w:rsid w:val="00A3340E"/>
    <w:rsid w:val="00A3450E"/>
    <w:rsid w:val="00A34D93"/>
    <w:rsid w:val="00A34F16"/>
    <w:rsid w:val="00A34F3D"/>
    <w:rsid w:val="00A350D7"/>
    <w:rsid w:val="00A351D2"/>
    <w:rsid w:val="00A35262"/>
    <w:rsid w:val="00A35A2C"/>
    <w:rsid w:val="00A35F1F"/>
    <w:rsid w:val="00A36A48"/>
    <w:rsid w:val="00A36A66"/>
    <w:rsid w:val="00A3766B"/>
    <w:rsid w:val="00A4032D"/>
    <w:rsid w:val="00A4057F"/>
    <w:rsid w:val="00A405AD"/>
    <w:rsid w:val="00A40B0F"/>
    <w:rsid w:val="00A40BC9"/>
    <w:rsid w:val="00A412D6"/>
    <w:rsid w:val="00A41BCE"/>
    <w:rsid w:val="00A42C22"/>
    <w:rsid w:val="00A42F22"/>
    <w:rsid w:val="00A43C38"/>
    <w:rsid w:val="00A44206"/>
    <w:rsid w:val="00A4481D"/>
    <w:rsid w:val="00A44DCC"/>
    <w:rsid w:val="00A451E6"/>
    <w:rsid w:val="00A4547C"/>
    <w:rsid w:val="00A458A5"/>
    <w:rsid w:val="00A45AAF"/>
    <w:rsid w:val="00A45B29"/>
    <w:rsid w:val="00A46107"/>
    <w:rsid w:val="00A46F16"/>
    <w:rsid w:val="00A47363"/>
    <w:rsid w:val="00A47F8E"/>
    <w:rsid w:val="00A5080B"/>
    <w:rsid w:val="00A51054"/>
    <w:rsid w:val="00A51191"/>
    <w:rsid w:val="00A513D0"/>
    <w:rsid w:val="00A51584"/>
    <w:rsid w:val="00A518EB"/>
    <w:rsid w:val="00A52E29"/>
    <w:rsid w:val="00A52EB8"/>
    <w:rsid w:val="00A52F9F"/>
    <w:rsid w:val="00A5302C"/>
    <w:rsid w:val="00A53827"/>
    <w:rsid w:val="00A549C4"/>
    <w:rsid w:val="00A55D71"/>
    <w:rsid w:val="00A56720"/>
    <w:rsid w:val="00A56BBF"/>
    <w:rsid w:val="00A56C08"/>
    <w:rsid w:val="00A56DC9"/>
    <w:rsid w:val="00A57487"/>
    <w:rsid w:val="00A57CC9"/>
    <w:rsid w:val="00A602CD"/>
    <w:rsid w:val="00A60597"/>
    <w:rsid w:val="00A60D68"/>
    <w:rsid w:val="00A61C1D"/>
    <w:rsid w:val="00A62144"/>
    <w:rsid w:val="00A62889"/>
    <w:rsid w:val="00A62DDB"/>
    <w:rsid w:val="00A62DFE"/>
    <w:rsid w:val="00A63233"/>
    <w:rsid w:val="00A632C4"/>
    <w:rsid w:val="00A6377A"/>
    <w:rsid w:val="00A63CE8"/>
    <w:rsid w:val="00A6401D"/>
    <w:rsid w:val="00A6605D"/>
    <w:rsid w:val="00A66070"/>
    <w:rsid w:val="00A6607F"/>
    <w:rsid w:val="00A667E4"/>
    <w:rsid w:val="00A66A3A"/>
    <w:rsid w:val="00A670BF"/>
    <w:rsid w:val="00A67312"/>
    <w:rsid w:val="00A6786C"/>
    <w:rsid w:val="00A67A98"/>
    <w:rsid w:val="00A707A4"/>
    <w:rsid w:val="00A7091E"/>
    <w:rsid w:val="00A70AF3"/>
    <w:rsid w:val="00A71060"/>
    <w:rsid w:val="00A71D86"/>
    <w:rsid w:val="00A7249B"/>
    <w:rsid w:val="00A72C56"/>
    <w:rsid w:val="00A74971"/>
    <w:rsid w:val="00A759EB"/>
    <w:rsid w:val="00A75E6F"/>
    <w:rsid w:val="00A76218"/>
    <w:rsid w:val="00A77FFD"/>
    <w:rsid w:val="00A8007B"/>
    <w:rsid w:val="00A817F1"/>
    <w:rsid w:val="00A8195A"/>
    <w:rsid w:val="00A819BC"/>
    <w:rsid w:val="00A81A05"/>
    <w:rsid w:val="00A81CFE"/>
    <w:rsid w:val="00A82FED"/>
    <w:rsid w:val="00A83721"/>
    <w:rsid w:val="00A83CD4"/>
    <w:rsid w:val="00A84146"/>
    <w:rsid w:val="00A842EF"/>
    <w:rsid w:val="00A85373"/>
    <w:rsid w:val="00A85888"/>
    <w:rsid w:val="00A85C4F"/>
    <w:rsid w:val="00A86B04"/>
    <w:rsid w:val="00A87377"/>
    <w:rsid w:val="00A87BFE"/>
    <w:rsid w:val="00A87C8F"/>
    <w:rsid w:val="00A906A2"/>
    <w:rsid w:val="00A90D40"/>
    <w:rsid w:val="00A915F0"/>
    <w:rsid w:val="00A916E8"/>
    <w:rsid w:val="00A916F3"/>
    <w:rsid w:val="00A9171C"/>
    <w:rsid w:val="00A9209E"/>
    <w:rsid w:val="00A92901"/>
    <w:rsid w:val="00A92D9A"/>
    <w:rsid w:val="00A9313A"/>
    <w:rsid w:val="00A934A1"/>
    <w:rsid w:val="00A93A24"/>
    <w:rsid w:val="00A93C8D"/>
    <w:rsid w:val="00A942DD"/>
    <w:rsid w:val="00A945C8"/>
    <w:rsid w:val="00A9531A"/>
    <w:rsid w:val="00A95873"/>
    <w:rsid w:val="00A96446"/>
    <w:rsid w:val="00A9654C"/>
    <w:rsid w:val="00A97422"/>
    <w:rsid w:val="00A97676"/>
    <w:rsid w:val="00A97857"/>
    <w:rsid w:val="00A97C65"/>
    <w:rsid w:val="00AA08CC"/>
    <w:rsid w:val="00AA1879"/>
    <w:rsid w:val="00AA1D95"/>
    <w:rsid w:val="00AA1F76"/>
    <w:rsid w:val="00AA22B4"/>
    <w:rsid w:val="00AA3008"/>
    <w:rsid w:val="00AA3186"/>
    <w:rsid w:val="00AA37D9"/>
    <w:rsid w:val="00AA37E0"/>
    <w:rsid w:val="00AA3919"/>
    <w:rsid w:val="00AA43FB"/>
    <w:rsid w:val="00AA4530"/>
    <w:rsid w:val="00AA544F"/>
    <w:rsid w:val="00AA5714"/>
    <w:rsid w:val="00AA5F90"/>
    <w:rsid w:val="00AA5FBA"/>
    <w:rsid w:val="00AA6283"/>
    <w:rsid w:val="00AA785F"/>
    <w:rsid w:val="00AA7989"/>
    <w:rsid w:val="00AA7D17"/>
    <w:rsid w:val="00AA7F94"/>
    <w:rsid w:val="00AB0009"/>
    <w:rsid w:val="00AB1B77"/>
    <w:rsid w:val="00AB26CE"/>
    <w:rsid w:val="00AB2880"/>
    <w:rsid w:val="00AB2F0A"/>
    <w:rsid w:val="00AB33E5"/>
    <w:rsid w:val="00AB34BB"/>
    <w:rsid w:val="00AB35FA"/>
    <w:rsid w:val="00AB39C4"/>
    <w:rsid w:val="00AB3F94"/>
    <w:rsid w:val="00AB42FF"/>
    <w:rsid w:val="00AB486D"/>
    <w:rsid w:val="00AB4C48"/>
    <w:rsid w:val="00AB5750"/>
    <w:rsid w:val="00AB5917"/>
    <w:rsid w:val="00AB644F"/>
    <w:rsid w:val="00AB6614"/>
    <w:rsid w:val="00AB705A"/>
    <w:rsid w:val="00AB72D0"/>
    <w:rsid w:val="00AB7DDD"/>
    <w:rsid w:val="00AB7F5F"/>
    <w:rsid w:val="00AC108F"/>
    <w:rsid w:val="00AC1315"/>
    <w:rsid w:val="00AC14CE"/>
    <w:rsid w:val="00AC27E7"/>
    <w:rsid w:val="00AC298C"/>
    <w:rsid w:val="00AC3658"/>
    <w:rsid w:val="00AC3F47"/>
    <w:rsid w:val="00AC40C9"/>
    <w:rsid w:val="00AC43B9"/>
    <w:rsid w:val="00AC4486"/>
    <w:rsid w:val="00AC575E"/>
    <w:rsid w:val="00AC5B2A"/>
    <w:rsid w:val="00AC5C4A"/>
    <w:rsid w:val="00AC5DBE"/>
    <w:rsid w:val="00AC659A"/>
    <w:rsid w:val="00AC67D5"/>
    <w:rsid w:val="00AC6A9A"/>
    <w:rsid w:val="00AC6B14"/>
    <w:rsid w:val="00AC720A"/>
    <w:rsid w:val="00AC7D38"/>
    <w:rsid w:val="00AC7DF7"/>
    <w:rsid w:val="00AD00EA"/>
    <w:rsid w:val="00AD02CD"/>
    <w:rsid w:val="00AD04C7"/>
    <w:rsid w:val="00AD0FE8"/>
    <w:rsid w:val="00AD16F9"/>
    <w:rsid w:val="00AD185B"/>
    <w:rsid w:val="00AD2147"/>
    <w:rsid w:val="00AD259B"/>
    <w:rsid w:val="00AD2E28"/>
    <w:rsid w:val="00AD2E67"/>
    <w:rsid w:val="00AD2FE1"/>
    <w:rsid w:val="00AD324C"/>
    <w:rsid w:val="00AD3829"/>
    <w:rsid w:val="00AD3F84"/>
    <w:rsid w:val="00AD4838"/>
    <w:rsid w:val="00AD4C68"/>
    <w:rsid w:val="00AD51A6"/>
    <w:rsid w:val="00AD59D5"/>
    <w:rsid w:val="00AD639B"/>
    <w:rsid w:val="00AD639C"/>
    <w:rsid w:val="00AD6D1C"/>
    <w:rsid w:val="00AD760C"/>
    <w:rsid w:val="00AD79D8"/>
    <w:rsid w:val="00AD79ED"/>
    <w:rsid w:val="00AD7E35"/>
    <w:rsid w:val="00AD7FE4"/>
    <w:rsid w:val="00AE017A"/>
    <w:rsid w:val="00AE0645"/>
    <w:rsid w:val="00AE0707"/>
    <w:rsid w:val="00AE0ABE"/>
    <w:rsid w:val="00AE0D08"/>
    <w:rsid w:val="00AE0E23"/>
    <w:rsid w:val="00AE1358"/>
    <w:rsid w:val="00AE1486"/>
    <w:rsid w:val="00AE152A"/>
    <w:rsid w:val="00AE16CA"/>
    <w:rsid w:val="00AE3F8A"/>
    <w:rsid w:val="00AE4054"/>
    <w:rsid w:val="00AE44BA"/>
    <w:rsid w:val="00AE4831"/>
    <w:rsid w:val="00AE4C75"/>
    <w:rsid w:val="00AE4EB5"/>
    <w:rsid w:val="00AE4EBC"/>
    <w:rsid w:val="00AE51C7"/>
    <w:rsid w:val="00AE5232"/>
    <w:rsid w:val="00AE545E"/>
    <w:rsid w:val="00AE59B1"/>
    <w:rsid w:val="00AE6047"/>
    <w:rsid w:val="00AE6F82"/>
    <w:rsid w:val="00AE7B5B"/>
    <w:rsid w:val="00AF0009"/>
    <w:rsid w:val="00AF0598"/>
    <w:rsid w:val="00AF110E"/>
    <w:rsid w:val="00AF13D6"/>
    <w:rsid w:val="00AF18F9"/>
    <w:rsid w:val="00AF19E6"/>
    <w:rsid w:val="00AF1AC1"/>
    <w:rsid w:val="00AF2A9B"/>
    <w:rsid w:val="00AF2F9C"/>
    <w:rsid w:val="00AF31C6"/>
    <w:rsid w:val="00AF356C"/>
    <w:rsid w:val="00AF3A11"/>
    <w:rsid w:val="00AF3A40"/>
    <w:rsid w:val="00AF4391"/>
    <w:rsid w:val="00AF4809"/>
    <w:rsid w:val="00AF4B32"/>
    <w:rsid w:val="00AF4E0D"/>
    <w:rsid w:val="00AF5575"/>
    <w:rsid w:val="00AF58AD"/>
    <w:rsid w:val="00AF643D"/>
    <w:rsid w:val="00AF690C"/>
    <w:rsid w:val="00AF7426"/>
    <w:rsid w:val="00AF75C0"/>
    <w:rsid w:val="00AF796D"/>
    <w:rsid w:val="00AF7A96"/>
    <w:rsid w:val="00B00309"/>
    <w:rsid w:val="00B00D1D"/>
    <w:rsid w:val="00B00F89"/>
    <w:rsid w:val="00B00FB2"/>
    <w:rsid w:val="00B01113"/>
    <w:rsid w:val="00B01467"/>
    <w:rsid w:val="00B01850"/>
    <w:rsid w:val="00B01E07"/>
    <w:rsid w:val="00B028EA"/>
    <w:rsid w:val="00B02A1B"/>
    <w:rsid w:val="00B03A9F"/>
    <w:rsid w:val="00B04A79"/>
    <w:rsid w:val="00B05BBD"/>
    <w:rsid w:val="00B060C5"/>
    <w:rsid w:val="00B062A6"/>
    <w:rsid w:val="00B06473"/>
    <w:rsid w:val="00B06AEB"/>
    <w:rsid w:val="00B06E70"/>
    <w:rsid w:val="00B06EA0"/>
    <w:rsid w:val="00B07407"/>
    <w:rsid w:val="00B07647"/>
    <w:rsid w:val="00B10053"/>
    <w:rsid w:val="00B10774"/>
    <w:rsid w:val="00B10DE3"/>
    <w:rsid w:val="00B1140D"/>
    <w:rsid w:val="00B11760"/>
    <w:rsid w:val="00B11BD7"/>
    <w:rsid w:val="00B11CA4"/>
    <w:rsid w:val="00B124BF"/>
    <w:rsid w:val="00B133D9"/>
    <w:rsid w:val="00B13946"/>
    <w:rsid w:val="00B13E72"/>
    <w:rsid w:val="00B14AE3"/>
    <w:rsid w:val="00B15448"/>
    <w:rsid w:val="00B154D5"/>
    <w:rsid w:val="00B159DF"/>
    <w:rsid w:val="00B160AD"/>
    <w:rsid w:val="00B163EA"/>
    <w:rsid w:val="00B16EBB"/>
    <w:rsid w:val="00B176C0"/>
    <w:rsid w:val="00B1775F"/>
    <w:rsid w:val="00B17D9A"/>
    <w:rsid w:val="00B20274"/>
    <w:rsid w:val="00B2075D"/>
    <w:rsid w:val="00B20A81"/>
    <w:rsid w:val="00B20A87"/>
    <w:rsid w:val="00B20FFD"/>
    <w:rsid w:val="00B21A9B"/>
    <w:rsid w:val="00B21F7A"/>
    <w:rsid w:val="00B231F3"/>
    <w:rsid w:val="00B23A79"/>
    <w:rsid w:val="00B24CB0"/>
    <w:rsid w:val="00B24D03"/>
    <w:rsid w:val="00B24EEA"/>
    <w:rsid w:val="00B25326"/>
    <w:rsid w:val="00B2557C"/>
    <w:rsid w:val="00B25ABF"/>
    <w:rsid w:val="00B25B1B"/>
    <w:rsid w:val="00B2625A"/>
    <w:rsid w:val="00B265C5"/>
    <w:rsid w:val="00B26671"/>
    <w:rsid w:val="00B26C6E"/>
    <w:rsid w:val="00B26D9C"/>
    <w:rsid w:val="00B27896"/>
    <w:rsid w:val="00B27A36"/>
    <w:rsid w:val="00B27F46"/>
    <w:rsid w:val="00B308B3"/>
    <w:rsid w:val="00B30AD0"/>
    <w:rsid w:val="00B316A6"/>
    <w:rsid w:val="00B3173E"/>
    <w:rsid w:val="00B32079"/>
    <w:rsid w:val="00B32314"/>
    <w:rsid w:val="00B32606"/>
    <w:rsid w:val="00B32C8E"/>
    <w:rsid w:val="00B32FE4"/>
    <w:rsid w:val="00B342B7"/>
    <w:rsid w:val="00B34C32"/>
    <w:rsid w:val="00B35283"/>
    <w:rsid w:val="00B35337"/>
    <w:rsid w:val="00B354E7"/>
    <w:rsid w:val="00B355B5"/>
    <w:rsid w:val="00B35762"/>
    <w:rsid w:val="00B35A42"/>
    <w:rsid w:val="00B35B9C"/>
    <w:rsid w:val="00B35DD1"/>
    <w:rsid w:val="00B378F2"/>
    <w:rsid w:val="00B3795F"/>
    <w:rsid w:val="00B37A76"/>
    <w:rsid w:val="00B401BC"/>
    <w:rsid w:val="00B40687"/>
    <w:rsid w:val="00B41260"/>
    <w:rsid w:val="00B41792"/>
    <w:rsid w:val="00B41AEF"/>
    <w:rsid w:val="00B4222E"/>
    <w:rsid w:val="00B423B2"/>
    <w:rsid w:val="00B4259A"/>
    <w:rsid w:val="00B42D11"/>
    <w:rsid w:val="00B436A5"/>
    <w:rsid w:val="00B44684"/>
    <w:rsid w:val="00B45282"/>
    <w:rsid w:val="00B452B2"/>
    <w:rsid w:val="00B452CF"/>
    <w:rsid w:val="00B4552A"/>
    <w:rsid w:val="00B45843"/>
    <w:rsid w:val="00B4588E"/>
    <w:rsid w:val="00B45C28"/>
    <w:rsid w:val="00B46165"/>
    <w:rsid w:val="00B46306"/>
    <w:rsid w:val="00B46983"/>
    <w:rsid w:val="00B46AA7"/>
    <w:rsid w:val="00B4702C"/>
    <w:rsid w:val="00B472AD"/>
    <w:rsid w:val="00B47C0A"/>
    <w:rsid w:val="00B5070E"/>
    <w:rsid w:val="00B50C2B"/>
    <w:rsid w:val="00B50CC5"/>
    <w:rsid w:val="00B514A4"/>
    <w:rsid w:val="00B514C7"/>
    <w:rsid w:val="00B51B6D"/>
    <w:rsid w:val="00B51D48"/>
    <w:rsid w:val="00B523A9"/>
    <w:rsid w:val="00B5263F"/>
    <w:rsid w:val="00B5302A"/>
    <w:rsid w:val="00B538C4"/>
    <w:rsid w:val="00B53FAE"/>
    <w:rsid w:val="00B54094"/>
    <w:rsid w:val="00B54D44"/>
    <w:rsid w:val="00B55434"/>
    <w:rsid w:val="00B56014"/>
    <w:rsid w:val="00B5690A"/>
    <w:rsid w:val="00B56C8A"/>
    <w:rsid w:val="00B56D90"/>
    <w:rsid w:val="00B57178"/>
    <w:rsid w:val="00B577CC"/>
    <w:rsid w:val="00B57933"/>
    <w:rsid w:val="00B57C3D"/>
    <w:rsid w:val="00B57F9D"/>
    <w:rsid w:val="00B60A3B"/>
    <w:rsid w:val="00B60C58"/>
    <w:rsid w:val="00B60D2F"/>
    <w:rsid w:val="00B6154A"/>
    <w:rsid w:val="00B61836"/>
    <w:rsid w:val="00B61905"/>
    <w:rsid w:val="00B61CA9"/>
    <w:rsid w:val="00B61F08"/>
    <w:rsid w:val="00B6223B"/>
    <w:rsid w:val="00B62955"/>
    <w:rsid w:val="00B630DE"/>
    <w:rsid w:val="00B63544"/>
    <w:rsid w:val="00B6360B"/>
    <w:rsid w:val="00B63666"/>
    <w:rsid w:val="00B637FF"/>
    <w:rsid w:val="00B63EC1"/>
    <w:rsid w:val="00B63F19"/>
    <w:rsid w:val="00B64E6D"/>
    <w:rsid w:val="00B6501B"/>
    <w:rsid w:val="00B65E99"/>
    <w:rsid w:val="00B660D8"/>
    <w:rsid w:val="00B6648C"/>
    <w:rsid w:val="00B666B5"/>
    <w:rsid w:val="00B6675B"/>
    <w:rsid w:val="00B6689E"/>
    <w:rsid w:val="00B670A2"/>
    <w:rsid w:val="00B700C7"/>
    <w:rsid w:val="00B70B8C"/>
    <w:rsid w:val="00B70BE2"/>
    <w:rsid w:val="00B70C55"/>
    <w:rsid w:val="00B7102F"/>
    <w:rsid w:val="00B72664"/>
    <w:rsid w:val="00B727F5"/>
    <w:rsid w:val="00B736B6"/>
    <w:rsid w:val="00B7371D"/>
    <w:rsid w:val="00B73ADE"/>
    <w:rsid w:val="00B74149"/>
    <w:rsid w:val="00B747B3"/>
    <w:rsid w:val="00B7548E"/>
    <w:rsid w:val="00B75549"/>
    <w:rsid w:val="00B75750"/>
    <w:rsid w:val="00B76987"/>
    <w:rsid w:val="00B76A36"/>
    <w:rsid w:val="00B771AF"/>
    <w:rsid w:val="00B771B2"/>
    <w:rsid w:val="00B80281"/>
    <w:rsid w:val="00B80316"/>
    <w:rsid w:val="00B80343"/>
    <w:rsid w:val="00B80827"/>
    <w:rsid w:val="00B8085A"/>
    <w:rsid w:val="00B80C29"/>
    <w:rsid w:val="00B81697"/>
    <w:rsid w:val="00B81DF4"/>
    <w:rsid w:val="00B82108"/>
    <w:rsid w:val="00B82591"/>
    <w:rsid w:val="00B82E3C"/>
    <w:rsid w:val="00B83147"/>
    <w:rsid w:val="00B83E08"/>
    <w:rsid w:val="00B84062"/>
    <w:rsid w:val="00B847F9"/>
    <w:rsid w:val="00B857CB"/>
    <w:rsid w:val="00B87606"/>
    <w:rsid w:val="00B9019B"/>
    <w:rsid w:val="00B90341"/>
    <w:rsid w:val="00B90D39"/>
    <w:rsid w:val="00B90DEB"/>
    <w:rsid w:val="00B90FF2"/>
    <w:rsid w:val="00B916B2"/>
    <w:rsid w:val="00B91A78"/>
    <w:rsid w:val="00B91BC8"/>
    <w:rsid w:val="00B91F97"/>
    <w:rsid w:val="00B92347"/>
    <w:rsid w:val="00B92949"/>
    <w:rsid w:val="00B93270"/>
    <w:rsid w:val="00B93299"/>
    <w:rsid w:val="00B9352A"/>
    <w:rsid w:val="00B93684"/>
    <w:rsid w:val="00B94312"/>
    <w:rsid w:val="00B94474"/>
    <w:rsid w:val="00B9473D"/>
    <w:rsid w:val="00B94C5D"/>
    <w:rsid w:val="00B94E9A"/>
    <w:rsid w:val="00B95125"/>
    <w:rsid w:val="00B9549A"/>
    <w:rsid w:val="00B954E3"/>
    <w:rsid w:val="00B9621D"/>
    <w:rsid w:val="00B96A26"/>
    <w:rsid w:val="00B96C4D"/>
    <w:rsid w:val="00B97BBC"/>
    <w:rsid w:val="00BA0903"/>
    <w:rsid w:val="00BA0FC3"/>
    <w:rsid w:val="00BA1B27"/>
    <w:rsid w:val="00BA20F9"/>
    <w:rsid w:val="00BA21B0"/>
    <w:rsid w:val="00BA22F5"/>
    <w:rsid w:val="00BA235A"/>
    <w:rsid w:val="00BA297E"/>
    <w:rsid w:val="00BA2C7B"/>
    <w:rsid w:val="00BA3367"/>
    <w:rsid w:val="00BA33FD"/>
    <w:rsid w:val="00BA3FF4"/>
    <w:rsid w:val="00BA400A"/>
    <w:rsid w:val="00BA433E"/>
    <w:rsid w:val="00BA4725"/>
    <w:rsid w:val="00BA482C"/>
    <w:rsid w:val="00BA4E1A"/>
    <w:rsid w:val="00BA506D"/>
    <w:rsid w:val="00BA58E0"/>
    <w:rsid w:val="00BA5CD0"/>
    <w:rsid w:val="00BA6DA8"/>
    <w:rsid w:val="00BA6DB0"/>
    <w:rsid w:val="00BA706D"/>
    <w:rsid w:val="00BB0BF2"/>
    <w:rsid w:val="00BB0D5B"/>
    <w:rsid w:val="00BB10FC"/>
    <w:rsid w:val="00BB119C"/>
    <w:rsid w:val="00BB1D6C"/>
    <w:rsid w:val="00BB2277"/>
    <w:rsid w:val="00BB2E53"/>
    <w:rsid w:val="00BB37D0"/>
    <w:rsid w:val="00BB3851"/>
    <w:rsid w:val="00BB3969"/>
    <w:rsid w:val="00BB3D73"/>
    <w:rsid w:val="00BB4110"/>
    <w:rsid w:val="00BB425B"/>
    <w:rsid w:val="00BB454C"/>
    <w:rsid w:val="00BB4622"/>
    <w:rsid w:val="00BB4716"/>
    <w:rsid w:val="00BB48C1"/>
    <w:rsid w:val="00BB48E6"/>
    <w:rsid w:val="00BB4C9B"/>
    <w:rsid w:val="00BB52A5"/>
    <w:rsid w:val="00BB56A4"/>
    <w:rsid w:val="00BB59DA"/>
    <w:rsid w:val="00BB5AA2"/>
    <w:rsid w:val="00BB619F"/>
    <w:rsid w:val="00BB64AF"/>
    <w:rsid w:val="00BB75F4"/>
    <w:rsid w:val="00BB773C"/>
    <w:rsid w:val="00BC0C16"/>
    <w:rsid w:val="00BC0CEE"/>
    <w:rsid w:val="00BC0E38"/>
    <w:rsid w:val="00BC1376"/>
    <w:rsid w:val="00BC13B3"/>
    <w:rsid w:val="00BC15D8"/>
    <w:rsid w:val="00BC1ACC"/>
    <w:rsid w:val="00BC2493"/>
    <w:rsid w:val="00BC279D"/>
    <w:rsid w:val="00BC35AD"/>
    <w:rsid w:val="00BC3B2E"/>
    <w:rsid w:val="00BC3BA9"/>
    <w:rsid w:val="00BC43B0"/>
    <w:rsid w:val="00BC43F2"/>
    <w:rsid w:val="00BC4BB8"/>
    <w:rsid w:val="00BC58C2"/>
    <w:rsid w:val="00BC5B49"/>
    <w:rsid w:val="00BC603F"/>
    <w:rsid w:val="00BC6F68"/>
    <w:rsid w:val="00BC7047"/>
    <w:rsid w:val="00BC79AC"/>
    <w:rsid w:val="00BC7FE0"/>
    <w:rsid w:val="00BD0713"/>
    <w:rsid w:val="00BD119B"/>
    <w:rsid w:val="00BD12DA"/>
    <w:rsid w:val="00BD1C9D"/>
    <w:rsid w:val="00BD2BD9"/>
    <w:rsid w:val="00BD308E"/>
    <w:rsid w:val="00BD4711"/>
    <w:rsid w:val="00BD490D"/>
    <w:rsid w:val="00BD4B11"/>
    <w:rsid w:val="00BD4DD3"/>
    <w:rsid w:val="00BD58C3"/>
    <w:rsid w:val="00BD59D2"/>
    <w:rsid w:val="00BD5AC7"/>
    <w:rsid w:val="00BD5E81"/>
    <w:rsid w:val="00BD6291"/>
    <w:rsid w:val="00BD664B"/>
    <w:rsid w:val="00BD669B"/>
    <w:rsid w:val="00BD77E9"/>
    <w:rsid w:val="00BE0021"/>
    <w:rsid w:val="00BE0CE9"/>
    <w:rsid w:val="00BE110C"/>
    <w:rsid w:val="00BE1961"/>
    <w:rsid w:val="00BE1C69"/>
    <w:rsid w:val="00BE1D7F"/>
    <w:rsid w:val="00BE2034"/>
    <w:rsid w:val="00BE22A1"/>
    <w:rsid w:val="00BE2627"/>
    <w:rsid w:val="00BE2B60"/>
    <w:rsid w:val="00BE2B9A"/>
    <w:rsid w:val="00BE2DA2"/>
    <w:rsid w:val="00BE31CB"/>
    <w:rsid w:val="00BE3AAE"/>
    <w:rsid w:val="00BE3B9F"/>
    <w:rsid w:val="00BE3EBF"/>
    <w:rsid w:val="00BE409C"/>
    <w:rsid w:val="00BE42B2"/>
    <w:rsid w:val="00BE44B0"/>
    <w:rsid w:val="00BE4503"/>
    <w:rsid w:val="00BE48EF"/>
    <w:rsid w:val="00BE5284"/>
    <w:rsid w:val="00BE5E8C"/>
    <w:rsid w:val="00BE5EAD"/>
    <w:rsid w:val="00BE63EF"/>
    <w:rsid w:val="00BE67BC"/>
    <w:rsid w:val="00BE6A80"/>
    <w:rsid w:val="00BE6B4C"/>
    <w:rsid w:val="00BE6CB4"/>
    <w:rsid w:val="00BE6FC0"/>
    <w:rsid w:val="00BE6FFF"/>
    <w:rsid w:val="00BE7193"/>
    <w:rsid w:val="00BE78FF"/>
    <w:rsid w:val="00BE7A6C"/>
    <w:rsid w:val="00BE7D05"/>
    <w:rsid w:val="00BF06CE"/>
    <w:rsid w:val="00BF1373"/>
    <w:rsid w:val="00BF2779"/>
    <w:rsid w:val="00BF31D7"/>
    <w:rsid w:val="00BF4033"/>
    <w:rsid w:val="00BF44CC"/>
    <w:rsid w:val="00BF60D9"/>
    <w:rsid w:val="00BF6187"/>
    <w:rsid w:val="00BF6C60"/>
    <w:rsid w:val="00BF717B"/>
    <w:rsid w:val="00BF723E"/>
    <w:rsid w:val="00BF7439"/>
    <w:rsid w:val="00C00DFC"/>
    <w:rsid w:val="00C01E72"/>
    <w:rsid w:val="00C022B1"/>
    <w:rsid w:val="00C0296A"/>
    <w:rsid w:val="00C031CF"/>
    <w:rsid w:val="00C03249"/>
    <w:rsid w:val="00C03526"/>
    <w:rsid w:val="00C039E7"/>
    <w:rsid w:val="00C04499"/>
    <w:rsid w:val="00C044BE"/>
    <w:rsid w:val="00C04A96"/>
    <w:rsid w:val="00C05065"/>
    <w:rsid w:val="00C051B7"/>
    <w:rsid w:val="00C05D29"/>
    <w:rsid w:val="00C071C8"/>
    <w:rsid w:val="00C071D8"/>
    <w:rsid w:val="00C075AD"/>
    <w:rsid w:val="00C07AA3"/>
    <w:rsid w:val="00C07D8C"/>
    <w:rsid w:val="00C07E3A"/>
    <w:rsid w:val="00C102F2"/>
    <w:rsid w:val="00C103A4"/>
    <w:rsid w:val="00C10A36"/>
    <w:rsid w:val="00C10C00"/>
    <w:rsid w:val="00C10E54"/>
    <w:rsid w:val="00C11288"/>
    <w:rsid w:val="00C114C8"/>
    <w:rsid w:val="00C1159E"/>
    <w:rsid w:val="00C11F5B"/>
    <w:rsid w:val="00C12006"/>
    <w:rsid w:val="00C12628"/>
    <w:rsid w:val="00C12A65"/>
    <w:rsid w:val="00C12A7D"/>
    <w:rsid w:val="00C12A8F"/>
    <w:rsid w:val="00C1304C"/>
    <w:rsid w:val="00C13992"/>
    <w:rsid w:val="00C13D63"/>
    <w:rsid w:val="00C13E15"/>
    <w:rsid w:val="00C14374"/>
    <w:rsid w:val="00C14796"/>
    <w:rsid w:val="00C14DFE"/>
    <w:rsid w:val="00C14E7B"/>
    <w:rsid w:val="00C15028"/>
    <w:rsid w:val="00C153E5"/>
    <w:rsid w:val="00C15F90"/>
    <w:rsid w:val="00C16919"/>
    <w:rsid w:val="00C16B66"/>
    <w:rsid w:val="00C16D31"/>
    <w:rsid w:val="00C17449"/>
    <w:rsid w:val="00C20263"/>
    <w:rsid w:val="00C2128E"/>
    <w:rsid w:val="00C21A3B"/>
    <w:rsid w:val="00C22298"/>
    <w:rsid w:val="00C22F4F"/>
    <w:rsid w:val="00C23053"/>
    <w:rsid w:val="00C2338D"/>
    <w:rsid w:val="00C235BB"/>
    <w:rsid w:val="00C23EA6"/>
    <w:rsid w:val="00C2406D"/>
    <w:rsid w:val="00C24278"/>
    <w:rsid w:val="00C24876"/>
    <w:rsid w:val="00C24A67"/>
    <w:rsid w:val="00C24C00"/>
    <w:rsid w:val="00C24FEB"/>
    <w:rsid w:val="00C25678"/>
    <w:rsid w:val="00C25926"/>
    <w:rsid w:val="00C25CAB"/>
    <w:rsid w:val="00C25F85"/>
    <w:rsid w:val="00C2676B"/>
    <w:rsid w:val="00C2698A"/>
    <w:rsid w:val="00C26D66"/>
    <w:rsid w:val="00C26DAB"/>
    <w:rsid w:val="00C2712B"/>
    <w:rsid w:val="00C272AD"/>
    <w:rsid w:val="00C2793E"/>
    <w:rsid w:val="00C27E8B"/>
    <w:rsid w:val="00C300CD"/>
    <w:rsid w:val="00C303A4"/>
    <w:rsid w:val="00C30B49"/>
    <w:rsid w:val="00C33877"/>
    <w:rsid w:val="00C33FC6"/>
    <w:rsid w:val="00C34425"/>
    <w:rsid w:val="00C34814"/>
    <w:rsid w:val="00C35720"/>
    <w:rsid w:val="00C3573C"/>
    <w:rsid w:val="00C35EED"/>
    <w:rsid w:val="00C35EF5"/>
    <w:rsid w:val="00C360AC"/>
    <w:rsid w:val="00C36321"/>
    <w:rsid w:val="00C36576"/>
    <w:rsid w:val="00C368C5"/>
    <w:rsid w:val="00C37387"/>
    <w:rsid w:val="00C37993"/>
    <w:rsid w:val="00C37E37"/>
    <w:rsid w:val="00C37ED1"/>
    <w:rsid w:val="00C400AE"/>
    <w:rsid w:val="00C4049B"/>
    <w:rsid w:val="00C405EB"/>
    <w:rsid w:val="00C4085D"/>
    <w:rsid w:val="00C40E33"/>
    <w:rsid w:val="00C416FE"/>
    <w:rsid w:val="00C421B6"/>
    <w:rsid w:val="00C4259E"/>
    <w:rsid w:val="00C43AC9"/>
    <w:rsid w:val="00C44738"/>
    <w:rsid w:val="00C45297"/>
    <w:rsid w:val="00C456C3"/>
    <w:rsid w:val="00C457AE"/>
    <w:rsid w:val="00C46835"/>
    <w:rsid w:val="00C46CC2"/>
    <w:rsid w:val="00C471F4"/>
    <w:rsid w:val="00C47B43"/>
    <w:rsid w:val="00C47CDC"/>
    <w:rsid w:val="00C47F30"/>
    <w:rsid w:val="00C507E8"/>
    <w:rsid w:val="00C50989"/>
    <w:rsid w:val="00C50E03"/>
    <w:rsid w:val="00C51064"/>
    <w:rsid w:val="00C513F3"/>
    <w:rsid w:val="00C51C35"/>
    <w:rsid w:val="00C51E14"/>
    <w:rsid w:val="00C520D1"/>
    <w:rsid w:val="00C52432"/>
    <w:rsid w:val="00C53379"/>
    <w:rsid w:val="00C54113"/>
    <w:rsid w:val="00C543BC"/>
    <w:rsid w:val="00C54FF3"/>
    <w:rsid w:val="00C5615B"/>
    <w:rsid w:val="00C5646C"/>
    <w:rsid w:val="00C566BF"/>
    <w:rsid w:val="00C57013"/>
    <w:rsid w:val="00C57A82"/>
    <w:rsid w:val="00C6026D"/>
    <w:rsid w:val="00C60705"/>
    <w:rsid w:val="00C613BC"/>
    <w:rsid w:val="00C61651"/>
    <w:rsid w:val="00C61EE3"/>
    <w:rsid w:val="00C62298"/>
    <w:rsid w:val="00C629F8"/>
    <w:rsid w:val="00C62CAF"/>
    <w:rsid w:val="00C62D07"/>
    <w:rsid w:val="00C63058"/>
    <w:rsid w:val="00C63973"/>
    <w:rsid w:val="00C63CD1"/>
    <w:rsid w:val="00C63DA2"/>
    <w:rsid w:val="00C6472D"/>
    <w:rsid w:val="00C64F9E"/>
    <w:rsid w:val="00C65348"/>
    <w:rsid w:val="00C66040"/>
    <w:rsid w:val="00C66399"/>
    <w:rsid w:val="00C6647E"/>
    <w:rsid w:val="00C671C5"/>
    <w:rsid w:val="00C67204"/>
    <w:rsid w:val="00C67373"/>
    <w:rsid w:val="00C67806"/>
    <w:rsid w:val="00C7044C"/>
    <w:rsid w:val="00C707E6"/>
    <w:rsid w:val="00C709DC"/>
    <w:rsid w:val="00C71FC7"/>
    <w:rsid w:val="00C721C3"/>
    <w:rsid w:val="00C72400"/>
    <w:rsid w:val="00C72A3D"/>
    <w:rsid w:val="00C73EE4"/>
    <w:rsid w:val="00C745AC"/>
    <w:rsid w:val="00C747AA"/>
    <w:rsid w:val="00C74A87"/>
    <w:rsid w:val="00C74C8E"/>
    <w:rsid w:val="00C74D12"/>
    <w:rsid w:val="00C751F0"/>
    <w:rsid w:val="00C75B3B"/>
    <w:rsid w:val="00C77033"/>
    <w:rsid w:val="00C77441"/>
    <w:rsid w:val="00C778C5"/>
    <w:rsid w:val="00C77B0A"/>
    <w:rsid w:val="00C77D48"/>
    <w:rsid w:val="00C801B8"/>
    <w:rsid w:val="00C804F7"/>
    <w:rsid w:val="00C80558"/>
    <w:rsid w:val="00C80C84"/>
    <w:rsid w:val="00C80D25"/>
    <w:rsid w:val="00C80F40"/>
    <w:rsid w:val="00C8221D"/>
    <w:rsid w:val="00C838C4"/>
    <w:rsid w:val="00C844ED"/>
    <w:rsid w:val="00C84F1E"/>
    <w:rsid w:val="00C85257"/>
    <w:rsid w:val="00C8556D"/>
    <w:rsid w:val="00C85609"/>
    <w:rsid w:val="00C86A13"/>
    <w:rsid w:val="00C86B48"/>
    <w:rsid w:val="00C90473"/>
    <w:rsid w:val="00C908B3"/>
    <w:rsid w:val="00C9090A"/>
    <w:rsid w:val="00C90918"/>
    <w:rsid w:val="00C909B5"/>
    <w:rsid w:val="00C91656"/>
    <w:rsid w:val="00C91661"/>
    <w:rsid w:val="00C920A7"/>
    <w:rsid w:val="00C920EC"/>
    <w:rsid w:val="00C92426"/>
    <w:rsid w:val="00C92A1E"/>
    <w:rsid w:val="00C92F56"/>
    <w:rsid w:val="00C9366C"/>
    <w:rsid w:val="00C938F3"/>
    <w:rsid w:val="00C93C4E"/>
    <w:rsid w:val="00C9440E"/>
    <w:rsid w:val="00C945E9"/>
    <w:rsid w:val="00C94EA6"/>
    <w:rsid w:val="00C94F48"/>
    <w:rsid w:val="00C9534B"/>
    <w:rsid w:val="00C95557"/>
    <w:rsid w:val="00C95997"/>
    <w:rsid w:val="00C96562"/>
    <w:rsid w:val="00C96A33"/>
    <w:rsid w:val="00C96DA2"/>
    <w:rsid w:val="00C96F91"/>
    <w:rsid w:val="00C97FF1"/>
    <w:rsid w:val="00CA0EB1"/>
    <w:rsid w:val="00CA1410"/>
    <w:rsid w:val="00CA23D3"/>
    <w:rsid w:val="00CA23ED"/>
    <w:rsid w:val="00CA2418"/>
    <w:rsid w:val="00CA349F"/>
    <w:rsid w:val="00CA3B9D"/>
    <w:rsid w:val="00CA3BE0"/>
    <w:rsid w:val="00CA3BFD"/>
    <w:rsid w:val="00CA427F"/>
    <w:rsid w:val="00CA51FA"/>
    <w:rsid w:val="00CA5ED9"/>
    <w:rsid w:val="00CA653C"/>
    <w:rsid w:val="00CA6B7D"/>
    <w:rsid w:val="00CA6B9D"/>
    <w:rsid w:val="00CA6DAA"/>
    <w:rsid w:val="00CA6F22"/>
    <w:rsid w:val="00CA705B"/>
    <w:rsid w:val="00CA7622"/>
    <w:rsid w:val="00CA76A1"/>
    <w:rsid w:val="00CA7711"/>
    <w:rsid w:val="00CA7EA6"/>
    <w:rsid w:val="00CB0046"/>
    <w:rsid w:val="00CB00F7"/>
    <w:rsid w:val="00CB0431"/>
    <w:rsid w:val="00CB0B0D"/>
    <w:rsid w:val="00CB1103"/>
    <w:rsid w:val="00CB161B"/>
    <w:rsid w:val="00CB1679"/>
    <w:rsid w:val="00CB1A5B"/>
    <w:rsid w:val="00CB1B83"/>
    <w:rsid w:val="00CB1B9C"/>
    <w:rsid w:val="00CB2892"/>
    <w:rsid w:val="00CB28EE"/>
    <w:rsid w:val="00CB2B9B"/>
    <w:rsid w:val="00CB37DA"/>
    <w:rsid w:val="00CB3E88"/>
    <w:rsid w:val="00CB48BC"/>
    <w:rsid w:val="00CB5332"/>
    <w:rsid w:val="00CB5535"/>
    <w:rsid w:val="00CB61C1"/>
    <w:rsid w:val="00CB6569"/>
    <w:rsid w:val="00CB6FC6"/>
    <w:rsid w:val="00CB7603"/>
    <w:rsid w:val="00CB788F"/>
    <w:rsid w:val="00CB7BD1"/>
    <w:rsid w:val="00CC026B"/>
    <w:rsid w:val="00CC0325"/>
    <w:rsid w:val="00CC051E"/>
    <w:rsid w:val="00CC0B6E"/>
    <w:rsid w:val="00CC0F08"/>
    <w:rsid w:val="00CC1E77"/>
    <w:rsid w:val="00CC2DF1"/>
    <w:rsid w:val="00CC327C"/>
    <w:rsid w:val="00CC3631"/>
    <w:rsid w:val="00CC4734"/>
    <w:rsid w:val="00CC49C7"/>
    <w:rsid w:val="00CC4C7C"/>
    <w:rsid w:val="00CC4D06"/>
    <w:rsid w:val="00CC4D61"/>
    <w:rsid w:val="00CC55BD"/>
    <w:rsid w:val="00CC69A3"/>
    <w:rsid w:val="00CC70CA"/>
    <w:rsid w:val="00CC746A"/>
    <w:rsid w:val="00CC7B38"/>
    <w:rsid w:val="00CD0202"/>
    <w:rsid w:val="00CD022B"/>
    <w:rsid w:val="00CD086E"/>
    <w:rsid w:val="00CD08E4"/>
    <w:rsid w:val="00CD0919"/>
    <w:rsid w:val="00CD098C"/>
    <w:rsid w:val="00CD0D20"/>
    <w:rsid w:val="00CD148E"/>
    <w:rsid w:val="00CD1DA5"/>
    <w:rsid w:val="00CD3484"/>
    <w:rsid w:val="00CD3917"/>
    <w:rsid w:val="00CD3A0B"/>
    <w:rsid w:val="00CD3B4C"/>
    <w:rsid w:val="00CD3B93"/>
    <w:rsid w:val="00CD3C83"/>
    <w:rsid w:val="00CD4C19"/>
    <w:rsid w:val="00CD4C8C"/>
    <w:rsid w:val="00CD4EF0"/>
    <w:rsid w:val="00CD615E"/>
    <w:rsid w:val="00CD6899"/>
    <w:rsid w:val="00CD6BE3"/>
    <w:rsid w:val="00CD6F43"/>
    <w:rsid w:val="00CD7273"/>
    <w:rsid w:val="00CD7328"/>
    <w:rsid w:val="00CD7903"/>
    <w:rsid w:val="00CE0330"/>
    <w:rsid w:val="00CE0AEB"/>
    <w:rsid w:val="00CE12FA"/>
    <w:rsid w:val="00CE1481"/>
    <w:rsid w:val="00CE20D7"/>
    <w:rsid w:val="00CE2B7A"/>
    <w:rsid w:val="00CE3128"/>
    <w:rsid w:val="00CE3302"/>
    <w:rsid w:val="00CE39A1"/>
    <w:rsid w:val="00CE419A"/>
    <w:rsid w:val="00CE4A47"/>
    <w:rsid w:val="00CE4B94"/>
    <w:rsid w:val="00CE5233"/>
    <w:rsid w:val="00CE58F0"/>
    <w:rsid w:val="00CE5D56"/>
    <w:rsid w:val="00CE644E"/>
    <w:rsid w:val="00CE65CB"/>
    <w:rsid w:val="00CE66BB"/>
    <w:rsid w:val="00CE6B73"/>
    <w:rsid w:val="00CE6E00"/>
    <w:rsid w:val="00CE6E59"/>
    <w:rsid w:val="00CE724F"/>
    <w:rsid w:val="00CE79C0"/>
    <w:rsid w:val="00CE7A16"/>
    <w:rsid w:val="00CE7B72"/>
    <w:rsid w:val="00CF014C"/>
    <w:rsid w:val="00CF029C"/>
    <w:rsid w:val="00CF0A9C"/>
    <w:rsid w:val="00CF1409"/>
    <w:rsid w:val="00CF14BA"/>
    <w:rsid w:val="00CF174F"/>
    <w:rsid w:val="00CF1E59"/>
    <w:rsid w:val="00CF22C8"/>
    <w:rsid w:val="00CF23A8"/>
    <w:rsid w:val="00CF2C88"/>
    <w:rsid w:val="00CF3155"/>
    <w:rsid w:val="00CF40F5"/>
    <w:rsid w:val="00CF420B"/>
    <w:rsid w:val="00CF466B"/>
    <w:rsid w:val="00CF52B0"/>
    <w:rsid w:val="00CF5D84"/>
    <w:rsid w:val="00CF65B1"/>
    <w:rsid w:val="00CF6855"/>
    <w:rsid w:val="00CF6955"/>
    <w:rsid w:val="00CF7626"/>
    <w:rsid w:val="00CF785B"/>
    <w:rsid w:val="00CF798D"/>
    <w:rsid w:val="00CF7B47"/>
    <w:rsid w:val="00CF7D0C"/>
    <w:rsid w:val="00D00001"/>
    <w:rsid w:val="00D00569"/>
    <w:rsid w:val="00D013E0"/>
    <w:rsid w:val="00D02131"/>
    <w:rsid w:val="00D02244"/>
    <w:rsid w:val="00D02396"/>
    <w:rsid w:val="00D023FA"/>
    <w:rsid w:val="00D02647"/>
    <w:rsid w:val="00D028BE"/>
    <w:rsid w:val="00D02FDC"/>
    <w:rsid w:val="00D038DE"/>
    <w:rsid w:val="00D03BC3"/>
    <w:rsid w:val="00D0474D"/>
    <w:rsid w:val="00D0554F"/>
    <w:rsid w:val="00D05E57"/>
    <w:rsid w:val="00D06274"/>
    <w:rsid w:val="00D077AC"/>
    <w:rsid w:val="00D078CF"/>
    <w:rsid w:val="00D07937"/>
    <w:rsid w:val="00D10005"/>
    <w:rsid w:val="00D10703"/>
    <w:rsid w:val="00D118DB"/>
    <w:rsid w:val="00D11B4E"/>
    <w:rsid w:val="00D11E07"/>
    <w:rsid w:val="00D123BA"/>
    <w:rsid w:val="00D12445"/>
    <w:rsid w:val="00D12450"/>
    <w:rsid w:val="00D13384"/>
    <w:rsid w:val="00D1360F"/>
    <w:rsid w:val="00D1382C"/>
    <w:rsid w:val="00D13B79"/>
    <w:rsid w:val="00D149E3"/>
    <w:rsid w:val="00D14C0F"/>
    <w:rsid w:val="00D15922"/>
    <w:rsid w:val="00D159E2"/>
    <w:rsid w:val="00D161FC"/>
    <w:rsid w:val="00D16309"/>
    <w:rsid w:val="00D167EF"/>
    <w:rsid w:val="00D16EC0"/>
    <w:rsid w:val="00D173EF"/>
    <w:rsid w:val="00D1740B"/>
    <w:rsid w:val="00D177C2"/>
    <w:rsid w:val="00D17AA2"/>
    <w:rsid w:val="00D20524"/>
    <w:rsid w:val="00D207FC"/>
    <w:rsid w:val="00D21036"/>
    <w:rsid w:val="00D213CC"/>
    <w:rsid w:val="00D2169F"/>
    <w:rsid w:val="00D21892"/>
    <w:rsid w:val="00D21A08"/>
    <w:rsid w:val="00D2227C"/>
    <w:rsid w:val="00D2273C"/>
    <w:rsid w:val="00D227BF"/>
    <w:rsid w:val="00D2370A"/>
    <w:rsid w:val="00D23961"/>
    <w:rsid w:val="00D23A77"/>
    <w:rsid w:val="00D23E01"/>
    <w:rsid w:val="00D24678"/>
    <w:rsid w:val="00D24F44"/>
    <w:rsid w:val="00D24FFE"/>
    <w:rsid w:val="00D25D1A"/>
    <w:rsid w:val="00D25EC8"/>
    <w:rsid w:val="00D2753A"/>
    <w:rsid w:val="00D2760E"/>
    <w:rsid w:val="00D27A50"/>
    <w:rsid w:val="00D308AA"/>
    <w:rsid w:val="00D30DE9"/>
    <w:rsid w:val="00D31036"/>
    <w:rsid w:val="00D313F5"/>
    <w:rsid w:val="00D31991"/>
    <w:rsid w:val="00D31A12"/>
    <w:rsid w:val="00D3261F"/>
    <w:rsid w:val="00D32CD6"/>
    <w:rsid w:val="00D34201"/>
    <w:rsid w:val="00D3465E"/>
    <w:rsid w:val="00D349D7"/>
    <w:rsid w:val="00D35C52"/>
    <w:rsid w:val="00D36785"/>
    <w:rsid w:val="00D368E0"/>
    <w:rsid w:val="00D36AA6"/>
    <w:rsid w:val="00D374B2"/>
    <w:rsid w:val="00D37DCA"/>
    <w:rsid w:val="00D4063E"/>
    <w:rsid w:val="00D41959"/>
    <w:rsid w:val="00D42B0E"/>
    <w:rsid w:val="00D434FB"/>
    <w:rsid w:val="00D43A2B"/>
    <w:rsid w:val="00D44851"/>
    <w:rsid w:val="00D44AEC"/>
    <w:rsid w:val="00D452EE"/>
    <w:rsid w:val="00D4549F"/>
    <w:rsid w:val="00D456C2"/>
    <w:rsid w:val="00D45840"/>
    <w:rsid w:val="00D45A06"/>
    <w:rsid w:val="00D46148"/>
    <w:rsid w:val="00D463EC"/>
    <w:rsid w:val="00D466E4"/>
    <w:rsid w:val="00D47091"/>
    <w:rsid w:val="00D473B3"/>
    <w:rsid w:val="00D501FC"/>
    <w:rsid w:val="00D5077A"/>
    <w:rsid w:val="00D5110D"/>
    <w:rsid w:val="00D512B6"/>
    <w:rsid w:val="00D51D31"/>
    <w:rsid w:val="00D520DE"/>
    <w:rsid w:val="00D52107"/>
    <w:rsid w:val="00D522BE"/>
    <w:rsid w:val="00D52CD7"/>
    <w:rsid w:val="00D53C36"/>
    <w:rsid w:val="00D54021"/>
    <w:rsid w:val="00D54107"/>
    <w:rsid w:val="00D5435F"/>
    <w:rsid w:val="00D545FC"/>
    <w:rsid w:val="00D5466B"/>
    <w:rsid w:val="00D54A94"/>
    <w:rsid w:val="00D54B72"/>
    <w:rsid w:val="00D550EF"/>
    <w:rsid w:val="00D551CC"/>
    <w:rsid w:val="00D552C4"/>
    <w:rsid w:val="00D55347"/>
    <w:rsid w:val="00D559A8"/>
    <w:rsid w:val="00D55E82"/>
    <w:rsid w:val="00D5737C"/>
    <w:rsid w:val="00D57EE4"/>
    <w:rsid w:val="00D60494"/>
    <w:rsid w:val="00D60551"/>
    <w:rsid w:val="00D605EC"/>
    <w:rsid w:val="00D60663"/>
    <w:rsid w:val="00D60692"/>
    <w:rsid w:val="00D6081D"/>
    <w:rsid w:val="00D60B98"/>
    <w:rsid w:val="00D60F5B"/>
    <w:rsid w:val="00D61006"/>
    <w:rsid w:val="00D616CF"/>
    <w:rsid w:val="00D6191B"/>
    <w:rsid w:val="00D61A4F"/>
    <w:rsid w:val="00D61C43"/>
    <w:rsid w:val="00D61DCD"/>
    <w:rsid w:val="00D62233"/>
    <w:rsid w:val="00D6264A"/>
    <w:rsid w:val="00D62EEE"/>
    <w:rsid w:val="00D63008"/>
    <w:rsid w:val="00D635B6"/>
    <w:rsid w:val="00D639BB"/>
    <w:rsid w:val="00D6412A"/>
    <w:rsid w:val="00D64757"/>
    <w:rsid w:val="00D648EE"/>
    <w:rsid w:val="00D64EEF"/>
    <w:rsid w:val="00D660B5"/>
    <w:rsid w:val="00D66788"/>
    <w:rsid w:val="00D670D0"/>
    <w:rsid w:val="00D674D8"/>
    <w:rsid w:val="00D67F08"/>
    <w:rsid w:val="00D67FE0"/>
    <w:rsid w:val="00D70605"/>
    <w:rsid w:val="00D707C8"/>
    <w:rsid w:val="00D70C81"/>
    <w:rsid w:val="00D70D50"/>
    <w:rsid w:val="00D70F91"/>
    <w:rsid w:val="00D711EC"/>
    <w:rsid w:val="00D71796"/>
    <w:rsid w:val="00D7181F"/>
    <w:rsid w:val="00D71863"/>
    <w:rsid w:val="00D718F4"/>
    <w:rsid w:val="00D71B32"/>
    <w:rsid w:val="00D71B7A"/>
    <w:rsid w:val="00D71F89"/>
    <w:rsid w:val="00D724A3"/>
    <w:rsid w:val="00D72C7C"/>
    <w:rsid w:val="00D731F2"/>
    <w:rsid w:val="00D73EA7"/>
    <w:rsid w:val="00D74130"/>
    <w:rsid w:val="00D74C01"/>
    <w:rsid w:val="00D74D85"/>
    <w:rsid w:val="00D75069"/>
    <w:rsid w:val="00D7507F"/>
    <w:rsid w:val="00D75282"/>
    <w:rsid w:val="00D75335"/>
    <w:rsid w:val="00D7542A"/>
    <w:rsid w:val="00D76719"/>
    <w:rsid w:val="00D77EA0"/>
    <w:rsid w:val="00D805B9"/>
    <w:rsid w:val="00D80B6D"/>
    <w:rsid w:val="00D81005"/>
    <w:rsid w:val="00D8146E"/>
    <w:rsid w:val="00D81667"/>
    <w:rsid w:val="00D81817"/>
    <w:rsid w:val="00D819FE"/>
    <w:rsid w:val="00D81B71"/>
    <w:rsid w:val="00D82283"/>
    <w:rsid w:val="00D837DE"/>
    <w:rsid w:val="00D83AC7"/>
    <w:rsid w:val="00D84041"/>
    <w:rsid w:val="00D841DA"/>
    <w:rsid w:val="00D8429C"/>
    <w:rsid w:val="00D84FE7"/>
    <w:rsid w:val="00D85DA7"/>
    <w:rsid w:val="00D85EDE"/>
    <w:rsid w:val="00D86AF5"/>
    <w:rsid w:val="00D86DE8"/>
    <w:rsid w:val="00D875B4"/>
    <w:rsid w:val="00D9012B"/>
    <w:rsid w:val="00D90A51"/>
    <w:rsid w:val="00D9138E"/>
    <w:rsid w:val="00D9216C"/>
    <w:rsid w:val="00D926B7"/>
    <w:rsid w:val="00D92E0E"/>
    <w:rsid w:val="00D92F65"/>
    <w:rsid w:val="00D92FB2"/>
    <w:rsid w:val="00D9346B"/>
    <w:rsid w:val="00D936A3"/>
    <w:rsid w:val="00D9382F"/>
    <w:rsid w:val="00D956DD"/>
    <w:rsid w:val="00D9589F"/>
    <w:rsid w:val="00D95C02"/>
    <w:rsid w:val="00D95C88"/>
    <w:rsid w:val="00D97198"/>
    <w:rsid w:val="00D9721F"/>
    <w:rsid w:val="00D97438"/>
    <w:rsid w:val="00D975DE"/>
    <w:rsid w:val="00D9760F"/>
    <w:rsid w:val="00DA096D"/>
    <w:rsid w:val="00DA0DC7"/>
    <w:rsid w:val="00DA0E8A"/>
    <w:rsid w:val="00DA140E"/>
    <w:rsid w:val="00DA1742"/>
    <w:rsid w:val="00DA174F"/>
    <w:rsid w:val="00DA1D51"/>
    <w:rsid w:val="00DA24F5"/>
    <w:rsid w:val="00DA399B"/>
    <w:rsid w:val="00DA47B9"/>
    <w:rsid w:val="00DA4D4E"/>
    <w:rsid w:val="00DA542E"/>
    <w:rsid w:val="00DA6114"/>
    <w:rsid w:val="00DA6863"/>
    <w:rsid w:val="00DA6F36"/>
    <w:rsid w:val="00DA70BC"/>
    <w:rsid w:val="00DB0275"/>
    <w:rsid w:val="00DB0A8F"/>
    <w:rsid w:val="00DB0CC7"/>
    <w:rsid w:val="00DB0F79"/>
    <w:rsid w:val="00DB1CEC"/>
    <w:rsid w:val="00DB233A"/>
    <w:rsid w:val="00DB23B5"/>
    <w:rsid w:val="00DB2839"/>
    <w:rsid w:val="00DB2CF9"/>
    <w:rsid w:val="00DB3188"/>
    <w:rsid w:val="00DB3771"/>
    <w:rsid w:val="00DB3C8B"/>
    <w:rsid w:val="00DB3D5E"/>
    <w:rsid w:val="00DB421D"/>
    <w:rsid w:val="00DB44A9"/>
    <w:rsid w:val="00DB46D9"/>
    <w:rsid w:val="00DB489B"/>
    <w:rsid w:val="00DB48CB"/>
    <w:rsid w:val="00DB553F"/>
    <w:rsid w:val="00DB6289"/>
    <w:rsid w:val="00DB6348"/>
    <w:rsid w:val="00DB6A19"/>
    <w:rsid w:val="00DB6BE8"/>
    <w:rsid w:val="00DB7277"/>
    <w:rsid w:val="00DC08AC"/>
    <w:rsid w:val="00DC1477"/>
    <w:rsid w:val="00DC1517"/>
    <w:rsid w:val="00DC192B"/>
    <w:rsid w:val="00DC2599"/>
    <w:rsid w:val="00DC28C7"/>
    <w:rsid w:val="00DC2DC4"/>
    <w:rsid w:val="00DC309B"/>
    <w:rsid w:val="00DC309D"/>
    <w:rsid w:val="00DC3143"/>
    <w:rsid w:val="00DC3211"/>
    <w:rsid w:val="00DC41C1"/>
    <w:rsid w:val="00DC44BC"/>
    <w:rsid w:val="00DC49B0"/>
    <w:rsid w:val="00DC4A13"/>
    <w:rsid w:val="00DC53FD"/>
    <w:rsid w:val="00DC577C"/>
    <w:rsid w:val="00DC6718"/>
    <w:rsid w:val="00DC71F9"/>
    <w:rsid w:val="00DC7433"/>
    <w:rsid w:val="00DC778C"/>
    <w:rsid w:val="00DC790D"/>
    <w:rsid w:val="00DD03BE"/>
    <w:rsid w:val="00DD098E"/>
    <w:rsid w:val="00DD0A49"/>
    <w:rsid w:val="00DD0BB4"/>
    <w:rsid w:val="00DD1223"/>
    <w:rsid w:val="00DD126D"/>
    <w:rsid w:val="00DD18D0"/>
    <w:rsid w:val="00DD1D67"/>
    <w:rsid w:val="00DD1D8C"/>
    <w:rsid w:val="00DD3060"/>
    <w:rsid w:val="00DD370A"/>
    <w:rsid w:val="00DD3996"/>
    <w:rsid w:val="00DD3B8A"/>
    <w:rsid w:val="00DD4117"/>
    <w:rsid w:val="00DD4806"/>
    <w:rsid w:val="00DD49F3"/>
    <w:rsid w:val="00DD512D"/>
    <w:rsid w:val="00DD54A8"/>
    <w:rsid w:val="00DD5873"/>
    <w:rsid w:val="00DD6185"/>
    <w:rsid w:val="00DD623B"/>
    <w:rsid w:val="00DD6393"/>
    <w:rsid w:val="00DD6A53"/>
    <w:rsid w:val="00DD7783"/>
    <w:rsid w:val="00DD798B"/>
    <w:rsid w:val="00DD7CBD"/>
    <w:rsid w:val="00DE034E"/>
    <w:rsid w:val="00DE0403"/>
    <w:rsid w:val="00DE0BF5"/>
    <w:rsid w:val="00DE0FEA"/>
    <w:rsid w:val="00DE219F"/>
    <w:rsid w:val="00DE2608"/>
    <w:rsid w:val="00DE2FCF"/>
    <w:rsid w:val="00DE3794"/>
    <w:rsid w:val="00DE3CA5"/>
    <w:rsid w:val="00DE43A1"/>
    <w:rsid w:val="00DE505A"/>
    <w:rsid w:val="00DE55A0"/>
    <w:rsid w:val="00DE5F1C"/>
    <w:rsid w:val="00DE634F"/>
    <w:rsid w:val="00DE6C1C"/>
    <w:rsid w:val="00DF0169"/>
    <w:rsid w:val="00DF0286"/>
    <w:rsid w:val="00DF076B"/>
    <w:rsid w:val="00DF07BD"/>
    <w:rsid w:val="00DF0A5D"/>
    <w:rsid w:val="00DF0A64"/>
    <w:rsid w:val="00DF0C35"/>
    <w:rsid w:val="00DF0F6E"/>
    <w:rsid w:val="00DF10A0"/>
    <w:rsid w:val="00DF13AA"/>
    <w:rsid w:val="00DF14B7"/>
    <w:rsid w:val="00DF196E"/>
    <w:rsid w:val="00DF31B3"/>
    <w:rsid w:val="00DF3A64"/>
    <w:rsid w:val="00DF44EA"/>
    <w:rsid w:val="00DF6B04"/>
    <w:rsid w:val="00DF7AEE"/>
    <w:rsid w:val="00E0024E"/>
    <w:rsid w:val="00E00AC4"/>
    <w:rsid w:val="00E00F49"/>
    <w:rsid w:val="00E01BEC"/>
    <w:rsid w:val="00E01E37"/>
    <w:rsid w:val="00E01EDB"/>
    <w:rsid w:val="00E0229C"/>
    <w:rsid w:val="00E0265D"/>
    <w:rsid w:val="00E02B2C"/>
    <w:rsid w:val="00E02BA7"/>
    <w:rsid w:val="00E043A5"/>
    <w:rsid w:val="00E04431"/>
    <w:rsid w:val="00E046A1"/>
    <w:rsid w:val="00E04746"/>
    <w:rsid w:val="00E04806"/>
    <w:rsid w:val="00E04D5E"/>
    <w:rsid w:val="00E04ECB"/>
    <w:rsid w:val="00E052E9"/>
    <w:rsid w:val="00E057D9"/>
    <w:rsid w:val="00E060E1"/>
    <w:rsid w:val="00E0628D"/>
    <w:rsid w:val="00E0646D"/>
    <w:rsid w:val="00E0719D"/>
    <w:rsid w:val="00E074C5"/>
    <w:rsid w:val="00E078A2"/>
    <w:rsid w:val="00E07DD8"/>
    <w:rsid w:val="00E1072F"/>
    <w:rsid w:val="00E11362"/>
    <w:rsid w:val="00E11C46"/>
    <w:rsid w:val="00E12032"/>
    <w:rsid w:val="00E12216"/>
    <w:rsid w:val="00E12256"/>
    <w:rsid w:val="00E12B11"/>
    <w:rsid w:val="00E13079"/>
    <w:rsid w:val="00E1333B"/>
    <w:rsid w:val="00E13364"/>
    <w:rsid w:val="00E136AE"/>
    <w:rsid w:val="00E14D81"/>
    <w:rsid w:val="00E14E60"/>
    <w:rsid w:val="00E1505D"/>
    <w:rsid w:val="00E1514F"/>
    <w:rsid w:val="00E1581B"/>
    <w:rsid w:val="00E168EE"/>
    <w:rsid w:val="00E16F86"/>
    <w:rsid w:val="00E17396"/>
    <w:rsid w:val="00E1783F"/>
    <w:rsid w:val="00E17878"/>
    <w:rsid w:val="00E17E30"/>
    <w:rsid w:val="00E2024B"/>
    <w:rsid w:val="00E20E13"/>
    <w:rsid w:val="00E20E8F"/>
    <w:rsid w:val="00E218AE"/>
    <w:rsid w:val="00E21B24"/>
    <w:rsid w:val="00E21D70"/>
    <w:rsid w:val="00E2223A"/>
    <w:rsid w:val="00E22490"/>
    <w:rsid w:val="00E23507"/>
    <w:rsid w:val="00E23BB9"/>
    <w:rsid w:val="00E23D6D"/>
    <w:rsid w:val="00E23DB0"/>
    <w:rsid w:val="00E242BD"/>
    <w:rsid w:val="00E24310"/>
    <w:rsid w:val="00E2461F"/>
    <w:rsid w:val="00E24731"/>
    <w:rsid w:val="00E24D5B"/>
    <w:rsid w:val="00E24F83"/>
    <w:rsid w:val="00E2505B"/>
    <w:rsid w:val="00E25556"/>
    <w:rsid w:val="00E259A2"/>
    <w:rsid w:val="00E25AA4"/>
    <w:rsid w:val="00E25CF5"/>
    <w:rsid w:val="00E26019"/>
    <w:rsid w:val="00E263DD"/>
    <w:rsid w:val="00E27973"/>
    <w:rsid w:val="00E27DE6"/>
    <w:rsid w:val="00E30491"/>
    <w:rsid w:val="00E306C3"/>
    <w:rsid w:val="00E31719"/>
    <w:rsid w:val="00E3177F"/>
    <w:rsid w:val="00E318D0"/>
    <w:rsid w:val="00E322FC"/>
    <w:rsid w:val="00E32779"/>
    <w:rsid w:val="00E32C80"/>
    <w:rsid w:val="00E32D39"/>
    <w:rsid w:val="00E33831"/>
    <w:rsid w:val="00E338EB"/>
    <w:rsid w:val="00E33A62"/>
    <w:rsid w:val="00E33D95"/>
    <w:rsid w:val="00E341C2"/>
    <w:rsid w:val="00E342E8"/>
    <w:rsid w:val="00E343FD"/>
    <w:rsid w:val="00E34C25"/>
    <w:rsid w:val="00E34E89"/>
    <w:rsid w:val="00E34FE4"/>
    <w:rsid w:val="00E35B64"/>
    <w:rsid w:val="00E35C3B"/>
    <w:rsid w:val="00E35DBF"/>
    <w:rsid w:val="00E361CA"/>
    <w:rsid w:val="00E36E5C"/>
    <w:rsid w:val="00E376FF"/>
    <w:rsid w:val="00E37959"/>
    <w:rsid w:val="00E37A51"/>
    <w:rsid w:val="00E4099A"/>
    <w:rsid w:val="00E40AF1"/>
    <w:rsid w:val="00E40DDC"/>
    <w:rsid w:val="00E4164E"/>
    <w:rsid w:val="00E41D82"/>
    <w:rsid w:val="00E41E42"/>
    <w:rsid w:val="00E42425"/>
    <w:rsid w:val="00E432FA"/>
    <w:rsid w:val="00E4460A"/>
    <w:rsid w:val="00E4467D"/>
    <w:rsid w:val="00E44FE9"/>
    <w:rsid w:val="00E45780"/>
    <w:rsid w:val="00E457B6"/>
    <w:rsid w:val="00E45974"/>
    <w:rsid w:val="00E45E76"/>
    <w:rsid w:val="00E46C41"/>
    <w:rsid w:val="00E4742B"/>
    <w:rsid w:val="00E5043E"/>
    <w:rsid w:val="00E51342"/>
    <w:rsid w:val="00E51E0D"/>
    <w:rsid w:val="00E52028"/>
    <w:rsid w:val="00E5284F"/>
    <w:rsid w:val="00E5304B"/>
    <w:rsid w:val="00E53D10"/>
    <w:rsid w:val="00E53D9C"/>
    <w:rsid w:val="00E54102"/>
    <w:rsid w:val="00E547A7"/>
    <w:rsid w:val="00E54B51"/>
    <w:rsid w:val="00E54E4D"/>
    <w:rsid w:val="00E5616C"/>
    <w:rsid w:val="00E56347"/>
    <w:rsid w:val="00E56D3F"/>
    <w:rsid w:val="00E56FCD"/>
    <w:rsid w:val="00E5731F"/>
    <w:rsid w:val="00E602B2"/>
    <w:rsid w:val="00E60A35"/>
    <w:rsid w:val="00E60F3F"/>
    <w:rsid w:val="00E61BA4"/>
    <w:rsid w:val="00E61C79"/>
    <w:rsid w:val="00E61F57"/>
    <w:rsid w:val="00E623EB"/>
    <w:rsid w:val="00E62B0D"/>
    <w:rsid w:val="00E63639"/>
    <w:rsid w:val="00E6365E"/>
    <w:rsid w:val="00E64512"/>
    <w:rsid w:val="00E64CD3"/>
    <w:rsid w:val="00E64E5B"/>
    <w:rsid w:val="00E65722"/>
    <w:rsid w:val="00E66371"/>
    <w:rsid w:val="00E663D1"/>
    <w:rsid w:val="00E67141"/>
    <w:rsid w:val="00E67733"/>
    <w:rsid w:val="00E67F13"/>
    <w:rsid w:val="00E7000E"/>
    <w:rsid w:val="00E70013"/>
    <w:rsid w:val="00E701EA"/>
    <w:rsid w:val="00E7152A"/>
    <w:rsid w:val="00E71945"/>
    <w:rsid w:val="00E71B00"/>
    <w:rsid w:val="00E723DA"/>
    <w:rsid w:val="00E72706"/>
    <w:rsid w:val="00E7273A"/>
    <w:rsid w:val="00E72A1F"/>
    <w:rsid w:val="00E7458F"/>
    <w:rsid w:val="00E753DA"/>
    <w:rsid w:val="00E765B8"/>
    <w:rsid w:val="00E7669A"/>
    <w:rsid w:val="00E76AFD"/>
    <w:rsid w:val="00E76C4D"/>
    <w:rsid w:val="00E77622"/>
    <w:rsid w:val="00E77978"/>
    <w:rsid w:val="00E77D5A"/>
    <w:rsid w:val="00E77DF6"/>
    <w:rsid w:val="00E809A6"/>
    <w:rsid w:val="00E80B7F"/>
    <w:rsid w:val="00E81C27"/>
    <w:rsid w:val="00E8222E"/>
    <w:rsid w:val="00E822C0"/>
    <w:rsid w:val="00E829A9"/>
    <w:rsid w:val="00E82B01"/>
    <w:rsid w:val="00E8312F"/>
    <w:rsid w:val="00E831DB"/>
    <w:rsid w:val="00E8383A"/>
    <w:rsid w:val="00E83F86"/>
    <w:rsid w:val="00E84759"/>
    <w:rsid w:val="00E848D6"/>
    <w:rsid w:val="00E869B8"/>
    <w:rsid w:val="00E870C4"/>
    <w:rsid w:val="00E874CB"/>
    <w:rsid w:val="00E87F19"/>
    <w:rsid w:val="00E90584"/>
    <w:rsid w:val="00E9074F"/>
    <w:rsid w:val="00E907D5"/>
    <w:rsid w:val="00E90BEA"/>
    <w:rsid w:val="00E91418"/>
    <w:rsid w:val="00E91B98"/>
    <w:rsid w:val="00E91E54"/>
    <w:rsid w:val="00E92504"/>
    <w:rsid w:val="00E92574"/>
    <w:rsid w:val="00E931AE"/>
    <w:rsid w:val="00E93628"/>
    <w:rsid w:val="00E939FA"/>
    <w:rsid w:val="00E93AB7"/>
    <w:rsid w:val="00E94076"/>
    <w:rsid w:val="00E94127"/>
    <w:rsid w:val="00E94DD4"/>
    <w:rsid w:val="00E95035"/>
    <w:rsid w:val="00E95692"/>
    <w:rsid w:val="00E95D77"/>
    <w:rsid w:val="00E95EC6"/>
    <w:rsid w:val="00E96575"/>
    <w:rsid w:val="00E97023"/>
    <w:rsid w:val="00E975B7"/>
    <w:rsid w:val="00EA00D1"/>
    <w:rsid w:val="00EA0104"/>
    <w:rsid w:val="00EA05BB"/>
    <w:rsid w:val="00EA10D3"/>
    <w:rsid w:val="00EA1A9D"/>
    <w:rsid w:val="00EA1D6C"/>
    <w:rsid w:val="00EA29B4"/>
    <w:rsid w:val="00EA3768"/>
    <w:rsid w:val="00EA41D1"/>
    <w:rsid w:val="00EA5031"/>
    <w:rsid w:val="00EA5295"/>
    <w:rsid w:val="00EA53BC"/>
    <w:rsid w:val="00EA552D"/>
    <w:rsid w:val="00EA5674"/>
    <w:rsid w:val="00EA569B"/>
    <w:rsid w:val="00EA5DCD"/>
    <w:rsid w:val="00EA66D5"/>
    <w:rsid w:val="00EA6DC3"/>
    <w:rsid w:val="00EA6EBA"/>
    <w:rsid w:val="00EA7099"/>
    <w:rsid w:val="00EA78CF"/>
    <w:rsid w:val="00EA791E"/>
    <w:rsid w:val="00EB09CC"/>
    <w:rsid w:val="00EB0A4C"/>
    <w:rsid w:val="00EB0C4F"/>
    <w:rsid w:val="00EB0C5B"/>
    <w:rsid w:val="00EB0D84"/>
    <w:rsid w:val="00EB0FBF"/>
    <w:rsid w:val="00EB13D2"/>
    <w:rsid w:val="00EB1449"/>
    <w:rsid w:val="00EB17A6"/>
    <w:rsid w:val="00EB1DA1"/>
    <w:rsid w:val="00EB23D7"/>
    <w:rsid w:val="00EB2867"/>
    <w:rsid w:val="00EB3164"/>
    <w:rsid w:val="00EB36B1"/>
    <w:rsid w:val="00EB4C41"/>
    <w:rsid w:val="00EB4FDF"/>
    <w:rsid w:val="00EB539B"/>
    <w:rsid w:val="00EB5776"/>
    <w:rsid w:val="00EB5978"/>
    <w:rsid w:val="00EB5F96"/>
    <w:rsid w:val="00EB6589"/>
    <w:rsid w:val="00EB78CD"/>
    <w:rsid w:val="00EC07CF"/>
    <w:rsid w:val="00EC1984"/>
    <w:rsid w:val="00EC1A75"/>
    <w:rsid w:val="00EC1BCB"/>
    <w:rsid w:val="00EC1D15"/>
    <w:rsid w:val="00EC2304"/>
    <w:rsid w:val="00EC267C"/>
    <w:rsid w:val="00EC2994"/>
    <w:rsid w:val="00EC3165"/>
    <w:rsid w:val="00EC382A"/>
    <w:rsid w:val="00EC38D4"/>
    <w:rsid w:val="00EC3A44"/>
    <w:rsid w:val="00EC3CC0"/>
    <w:rsid w:val="00EC3D61"/>
    <w:rsid w:val="00EC4251"/>
    <w:rsid w:val="00EC47E6"/>
    <w:rsid w:val="00EC487B"/>
    <w:rsid w:val="00EC5541"/>
    <w:rsid w:val="00EC63BC"/>
    <w:rsid w:val="00EC69B1"/>
    <w:rsid w:val="00EC6A41"/>
    <w:rsid w:val="00EC6D4A"/>
    <w:rsid w:val="00EC76BC"/>
    <w:rsid w:val="00ED0790"/>
    <w:rsid w:val="00ED0EC2"/>
    <w:rsid w:val="00ED148F"/>
    <w:rsid w:val="00ED17C4"/>
    <w:rsid w:val="00ED19CB"/>
    <w:rsid w:val="00ED208B"/>
    <w:rsid w:val="00ED24F7"/>
    <w:rsid w:val="00ED25E8"/>
    <w:rsid w:val="00ED25FD"/>
    <w:rsid w:val="00ED2705"/>
    <w:rsid w:val="00ED3556"/>
    <w:rsid w:val="00ED36F6"/>
    <w:rsid w:val="00ED451A"/>
    <w:rsid w:val="00ED46BE"/>
    <w:rsid w:val="00ED47B1"/>
    <w:rsid w:val="00ED51A0"/>
    <w:rsid w:val="00ED580F"/>
    <w:rsid w:val="00ED5BEB"/>
    <w:rsid w:val="00ED5C15"/>
    <w:rsid w:val="00ED6359"/>
    <w:rsid w:val="00ED63BF"/>
    <w:rsid w:val="00ED68E6"/>
    <w:rsid w:val="00ED6ECD"/>
    <w:rsid w:val="00ED7A7B"/>
    <w:rsid w:val="00ED7AD5"/>
    <w:rsid w:val="00ED7DCA"/>
    <w:rsid w:val="00ED7F8A"/>
    <w:rsid w:val="00EE0202"/>
    <w:rsid w:val="00EE0247"/>
    <w:rsid w:val="00EE0A32"/>
    <w:rsid w:val="00EE10A0"/>
    <w:rsid w:val="00EE209C"/>
    <w:rsid w:val="00EE21A7"/>
    <w:rsid w:val="00EE27B8"/>
    <w:rsid w:val="00EE2A76"/>
    <w:rsid w:val="00EE2E79"/>
    <w:rsid w:val="00EE3544"/>
    <w:rsid w:val="00EE37A7"/>
    <w:rsid w:val="00EE38AD"/>
    <w:rsid w:val="00EE3FBA"/>
    <w:rsid w:val="00EE4BAA"/>
    <w:rsid w:val="00EE5E7B"/>
    <w:rsid w:val="00EE67F2"/>
    <w:rsid w:val="00EE6E7C"/>
    <w:rsid w:val="00EE7B95"/>
    <w:rsid w:val="00EF0567"/>
    <w:rsid w:val="00EF0712"/>
    <w:rsid w:val="00EF0D48"/>
    <w:rsid w:val="00EF0DE3"/>
    <w:rsid w:val="00EF186C"/>
    <w:rsid w:val="00EF215B"/>
    <w:rsid w:val="00EF2EFB"/>
    <w:rsid w:val="00EF324C"/>
    <w:rsid w:val="00EF3492"/>
    <w:rsid w:val="00EF3619"/>
    <w:rsid w:val="00EF3970"/>
    <w:rsid w:val="00EF60AA"/>
    <w:rsid w:val="00EF61A7"/>
    <w:rsid w:val="00EF6BEE"/>
    <w:rsid w:val="00EF6E7D"/>
    <w:rsid w:val="00EF7307"/>
    <w:rsid w:val="00F009B7"/>
    <w:rsid w:val="00F01902"/>
    <w:rsid w:val="00F02203"/>
    <w:rsid w:val="00F02240"/>
    <w:rsid w:val="00F02D47"/>
    <w:rsid w:val="00F037B0"/>
    <w:rsid w:val="00F03BF5"/>
    <w:rsid w:val="00F03D87"/>
    <w:rsid w:val="00F0455E"/>
    <w:rsid w:val="00F04881"/>
    <w:rsid w:val="00F04CF0"/>
    <w:rsid w:val="00F050E8"/>
    <w:rsid w:val="00F055C0"/>
    <w:rsid w:val="00F05AD5"/>
    <w:rsid w:val="00F05FA0"/>
    <w:rsid w:val="00F06E3D"/>
    <w:rsid w:val="00F0702A"/>
    <w:rsid w:val="00F075A7"/>
    <w:rsid w:val="00F07955"/>
    <w:rsid w:val="00F10663"/>
    <w:rsid w:val="00F11881"/>
    <w:rsid w:val="00F120E9"/>
    <w:rsid w:val="00F12AD5"/>
    <w:rsid w:val="00F12B84"/>
    <w:rsid w:val="00F132B6"/>
    <w:rsid w:val="00F1367B"/>
    <w:rsid w:val="00F14B4B"/>
    <w:rsid w:val="00F14F01"/>
    <w:rsid w:val="00F15009"/>
    <w:rsid w:val="00F15300"/>
    <w:rsid w:val="00F15901"/>
    <w:rsid w:val="00F1650C"/>
    <w:rsid w:val="00F16529"/>
    <w:rsid w:val="00F1690D"/>
    <w:rsid w:val="00F16A7B"/>
    <w:rsid w:val="00F16F41"/>
    <w:rsid w:val="00F16F4E"/>
    <w:rsid w:val="00F16FB9"/>
    <w:rsid w:val="00F17210"/>
    <w:rsid w:val="00F179C8"/>
    <w:rsid w:val="00F17A19"/>
    <w:rsid w:val="00F202AA"/>
    <w:rsid w:val="00F208F7"/>
    <w:rsid w:val="00F20F8F"/>
    <w:rsid w:val="00F21582"/>
    <w:rsid w:val="00F218B8"/>
    <w:rsid w:val="00F21D96"/>
    <w:rsid w:val="00F2243D"/>
    <w:rsid w:val="00F227AF"/>
    <w:rsid w:val="00F22EC6"/>
    <w:rsid w:val="00F23575"/>
    <w:rsid w:val="00F23741"/>
    <w:rsid w:val="00F23D29"/>
    <w:rsid w:val="00F23EF3"/>
    <w:rsid w:val="00F24328"/>
    <w:rsid w:val="00F24936"/>
    <w:rsid w:val="00F2549A"/>
    <w:rsid w:val="00F25735"/>
    <w:rsid w:val="00F25C22"/>
    <w:rsid w:val="00F263D5"/>
    <w:rsid w:val="00F26470"/>
    <w:rsid w:val="00F2660F"/>
    <w:rsid w:val="00F26E3E"/>
    <w:rsid w:val="00F27B20"/>
    <w:rsid w:val="00F30444"/>
    <w:rsid w:val="00F30A5C"/>
    <w:rsid w:val="00F30BFF"/>
    <w:rsid w:val="00F313FB"/>
    <w:rsid w:val="00F32039"/>
    <w:rsid w:val="00F328C1"/>
    <w:rsid w:val="00F32C14"/>
    <w:rsid w:val="00F334A3"/>
    <w:rsid w:val="00F335B3"/>
    <w:rsid w:val="00F33C79"/>
    <w:rsid w:val="00F33D33"/>
    <w:rsid w:val="00F340BF"/>
    <w:rsid w:val="00F34A46"/>
    <w:rsid w:val="00F35AF2"/>
    <w:rsid w:val="00F35C53"/>
    <w:rsid w:val="00F3690E"/>
    <w:rsid w:val="00F36A8B"/>
    <w:rsid w:val="00F36F4E"/>
    <w:rsid w:val="00F374CB"/>
    <w:rsid w:val="00F37C93"/>
    <w:rsid w:val="00F37E1C"/>
    <w:rsid w:val="00F37ED2"/>
    <w:rsid w:val="00F400CE"/>
    <w:rsid w:val="00F407DE"/>
    <w:rsid w:val="00F40ACF"/>
    <w:rsid w:val="00F40D5F"/>
    <w:rsid w:val="00F41020"/>
    <w:rsid w:val="00F41348"/>
    <w:rsid w:val="00F419C9"/>
    <w:rsid w:val="00F41C5F"/>
    <w:rsid w:val="00F42252"/>
    <w:rsid w:val="00F42D89"/>
    <w:rsid w:val="00F4350D"/>
    <w:rsid w:val="00F4365B"/>
    <w:rsid w:val="00F436A5"/>
    <w:rsid w:val="00F43D7A"/>
    <w:rsid w:val="00F43E43"/>
    <w:rsid w:val="00F43FAC"/>
    <w:rsid w:val="00F440F4"/>
    <w:rsid w:val="00F44135"/>
    <w:rsid w:val="00F44DEB"/>
    <w:rsid w:val="00F45722"/>
    <w:rsid w:val="00F45C20"/>
    <w:rsid w:val="00F45E8D"/>
    <w:rsid w:val="00F46AEE"/>
    <w:rsid w:val="00F471B1"/>
    <w:rsid w:val="00F471B2"/>
    <w:rsid w:val="00F47452"/>
    <w:rsid w:val="00F477A7"/>
    <w:rsid w:val="00F500E7"/>
    <w:rsid w:val="00F50349"/>
    <w:rsid w:val="00F504B7"/>
    <w:rsid w:val="00F50B19"/>
    <w:rsid w:val="00F515A9"/>
    <w:rsid w:val="00F51915"/>
    <w:rsid w:val="00F521CB"/>
    <w:rsid w:val="00F5291E"/>
    <w:rsid w:val="00F52AA3"/>
    <w:rsid w:val="00F53103"/>
    <w:rsid w:val="00F53FBE"/>
    <w:rsid w:val="00F5441D"/>
    <w:rsid w:val="00F54A8F"/>
    <w:rsid w:val="00F5543C"/>
    <w:rsid w:val="00F555FD"/>
    <w:rsid w:val="00F55A8A"/>
    <w:rsid w:val="00F55D5C"/>
    <w:rsid w:val="00F55E73"/>
    <w:rsid w:val="00F563FD"/>
    <w:rsid w:val="00F56927"/>
    <w:rsid w:val="00F56C10"/>
    <w:rsid w:val="00F56C42"/>
    <w:rsid w:val="00F60676"/>
    <w:rsid w:val="00F60800"/>
    <w:rsid w:val="00F610D4"/>
    <w:rsid w:val="00F611C5"/>
    <w:rsid w:val="00F613AE"/>
    <w:rsid w:val="00F61895"/>
    <w:rsid w:val="00F61B42"/>
    <w:rsid w:val="00F61BE2"/>
    <w:rsid w:val="00F6229C"/>
    <w:rsid w:val="00F6234F"/>
    <w:rsid w:val="00F62672"/>
    <w:rsid w:val="00F627C6"/>
    <w:rsid w:val="00F62A19"/>
    <w:rsid w:val="00F62BBE"/>
    <w:rsid w:val="00F63607"/>
    <w:rsid w:val="00F64D11"/>
    <w:rsid w:val="00F64E22"/>
    <w:rsid w:val="00F64E24"/>
    <w:rsid w:val="00F6504E"/>
    <w:rsid w:val="00F653FE"/>
    <w:rsid w:val="00F6547A"/>
    <w:rsid w:val="00F65481"/>
    <w:rsid w:val="00F65CAD"/>
    <w:rsid w:val="00F66BBC"/>
    <w:rsid w:val="00F67143"/>
    <w:rsid w:val="00F67CF4"/>
    <w:rsid w:val="00F70143"/>
    <w:rsid w:val="00F7072A"/>
    <w:rsid w:val="00F70D21"/>
    <w:rsid w:val="00F7157B"/>
    <w:rsid w:val="00F716D0"/>
    <w:rsid w:val="00F71A51"/>
    <w:rsid w:val="00F72150"/>
    <w:rsid w:val="00F72197"/>
    <w:rsid w:val="00F725FE"/>
    <w:rsid w:val="00F72762"/>
    <w:rsid w:val="00F72E32"/>
    <w:rsid w:val="00F72EFA"/>
    <w:rsid w:val="00F74B93"/>
    <w:rsid w:val="00F74F07"/>
    <w:rsid w:val="00F750AD"/>
    <w:rsid w:val="00F75438"/>
    <w:rsid w:val="00F758FB"/>
    <w:rsid w:val="00F75A7C"/>
    <w:rsid w:val="00F75E01"/>
    <w:rsid w:val="00F76731"/>
    <w:rsid w:val="00F7692F"/>
    <w:rsid w:val="00F76CF3"/>
    <w:rsid w:val="00F76E46"/>
    <w:rsid w:val="00F76F04"/>
    <w:rsid w:val="00F77226"/>
    <w:rsid w:val="00F7761D"/>
    <w:rsid w:val="00F803F5"/>
    <w:rsid w:val="00F80731"/>
    <w:rsid w:val="00F8083B"/>
    <w:rsid w:val="00F813CA"/>
    <w:rsid w:val="00F81927"/>
    <w:rsid w:val="00F824DE"/>
    <w:rsid w:val="00F82598"/>
    <w:rsid w:val="00F825AD"/>
    <w:rsid w:val="00F8284A"/>
    <w:rsid w:val="00F82971"/>
    <w:rsid w:val="00F82C23"/>
    <w:rsid w:val="00F83162"/>
    <w:rsid w:val="00F832DA"/>
    <w:rsid w:val="00F843FA"/>
    <w:rsid w:val="00F84888"/>
    <w:rsid w:val="00F8499D"/>
    <w:rsid w:val="00F849E4"/>
    <w:rsid w:val="00F84A54"/>
    <w:rsid w:val="00F85BA5"/>
    <w:rsid w:val="00F85C1F"/>
    <w:rsid w:val="00F86443"/>
    <w:rsid w:val="00F8674D"/>
    <w:rsid w:val="00F86A20"/>
    <w:rsid w:val="00F86FE2"/>
    <w:rsid w:val="00F87056"/>
    <w:rsid w:val="00F875B8"/>
    <w:rsid w:val="00F8766E"/>
    <w:rsid w:val="00F8778C"/>
    <w:rsid w:val="00F90985"/>
    <w:rsid w:val="00F90C0C"/>
    <w:rsid w:val="00F90C73"/>
    <w:rsid w:val="00F91249"/>
    <w:rsid w:val="00F913B5"/>
    <w:rsid w:val="00F913B7"/>
    <w:rsid w:val="00F9163A"/>
    <w:rsid w:val="00F9169D"/>
    <w:rsid w:val="00F920B5"/>
    <w:rsid w:val="00F920B6"/>
    <w:rsid w:val="00F92352"/>
    <w:rsid w:val="00F92758"/>
    <w:rsid w:val="00F92BB8"/>
    <w:rsid w:val="00F92CFD"/>
    <w:rsid w:val="00F93AE1"/>
    <w:rsid w:val="00F93B86"/>
    <w:rsid w:val="00F93DA2"/>
    <w:rsid w:val="00F93EE3"/>
    <w:rsid w:val="00F9503A"/>
    <w:rsid w:val="00F953F5"/>
    <w:rsid w:val="00F957B6"/>
    <w:rsid w:val="00F95892"/>
    <w:rsid w:val="00F9624E"/>
    <w:rsid w:val="00F96767"/>
    <w:rsid w:val="00F973E1"/>
    <w:rsid w:val="00F975BB"/>
    <w:rsid w:val="00F97841"/>
    <w:rsid w:val="00F97BBB"/>
    <w:rsid w:val="00FA0C21"/>
    <w:rsid w:val="00FA0F9A"/>
    <w:rsid w:val="00FA141F"/>
    <w:rsid w:val="00FA17C3"/>
    <w:rsid w:val="00FA1A8A"/>
    <w:rsid w:val="00FA2938"/>
    <w:rsid w:val="00FA2FBF"/>
    <w:rsid w:val="00FA32B6"/>
    <w:rsid w:val="00FA3E53"/>
    <w:rsid w:val="00FA3F83"/>
    <w:rsid w:val="00FA40E5"/>
    <w:rsid w:val="00FA4799"/>
    <w:rsid w:val="00FA5010"/>
    <w:rsid w:val="00FA557A"/>
    <w:rsid w:val="00FA5CF8"/>
    <w:rsid w:val="00FA619F"/>
    <w:rsid w:val="00FA682A"/>
    <w:rsid w:val="00FA694C"/>
    <w:rsid w:val="00FA766B"/>
    <w:rsid w:val="00FA7805"/>
    <w:rsid w:val="00FA7955"/>
    <w:rsid w:val="00FA7A18"/>
    <w:rsid w:val="00FB015B"/>
    <w:rsid w:val="00FB0B39"/>
    <w:rsid w:val="00FB0B3E"/>
    <w:rsid w:val="00FB0D63"/>
    <w:rsid w:val="00FB13B4"/>
    <w:rsid w:val="00FB22FE"/>
    <w:rsid w:val="00FB2806"/>
    <w:rsid w:val="00FB2F4F"/>
    <w:rsid w:val="00FB43F0"/>
    <w:rsid w:val="00FB4B1C"/>
    <w:rsid w:val="00FB5217"/>
    <w:rsid w:val="00FB5983"/>
    <w:rsid w:val="00FB6582"/>
    <w:rsid w:val="00FB7765"/>
    <w:rsid w:val="00FB7B48"/>
    <w:rsid w:val="00FB7B94"/>
    <w:rsid w:val="00FB7DD6"/>
    <w:rsid w:val="00FB7FD5"/>
    <w:rsid w:val="00FC005A"/>
    <w:rsid w:val="00FC03B5"/>
    <w:rsid w:val="00FC0B65"/>
    <w:rsid w:val="00FC14EC"/>
    <w:rsid w:val="00FC1EF2"/>
    <w:rsid w:val="00FC207A"/>
    <w:rsid w:val="00FC225C"/>
    <w:rsid w:val="00FC25AB"/>
    <w:rsid w:val="00FC364F"/>
    <w:rsid w:val="00FC3986"/>
    <w:rsid w:val="00FC3B24"/>
    <w:rsid w:val="00FC4065"/>
    <w:rsid w:val="00FC461C"/>
    <w:rsid w:val="00FC50BC"/>
    <w:rsid w:val="00FC57DF"/>
    <w:rsid w:val="00FC587F"/>
    <w:rsid w:val="00FC6C1C"/>
    <w:rsid w:val="00FC70C8"/>
    <w:rsid w:val="00FC7F56"/>
    <w:rsid w:val="00FD0237"/>
    <w:rsid w:val="00FD0CEF"/>
    <w:rsid w:val="00FD1FFB"/>
    <w:rsid w:val="00FD2465"/>
    <w:rsid w:val="00FD2EB6"/>
    <w:rsid w:val="00FD393D"/>
    <w:rsid w:val="00FD3DE2"/>
    <w:rsid w:val="00FD3F1C"/>
    <w:rsid w:val="00FD47F6"/>
    <w:rsid w:val="00FD4BFE"/>
    <w:rsid w:val="00FD5490"/>
    <w:rsid w:val="00FD5780"/>
    <w:rsid w:val="00FD60A1"/>
    <w:rsid w:val="00FD6574"/>
    <w:rsid w:val="00FD66E1"/>
    <w:rsid w:val="00FD7306"/>
    <w:rsid w:val="00FD7314"/>
    <w:rsid w:val="00FD73FB"/>
    <w:rsid w:val="00FD7940"/>
    <w:rsid w:val="00FD7C6F"/>
    <w:rsid w:val="00FD7D4D"/>
    <w:rsid w:val="00FD7D84"/>
    <w:rsid w:val="00FE09AC"/>
    <w:rsid w:val="00FE10AE"/>
    <w:rsid w:val="00FE1765"/>
    <w:rsid w:val="00FE1A2E"/>
    <w:rsid w:val="00FE34D9"/>
    <w:rsid w:val="00FE35D1"/>
    <w:rsid w:val="00FE362B"/>
    <w:rsid w:val="00FE3F74"/>
    <w:rsid w:val="00FE3FC2"/>
    <w:rsid w:val="00FE4438"/>
    <w:rsid w:val="00FE4633"/>
    <w:rsid w:val="00FE4806"/>
    <w:rsid w:val="00FE527B"/>
    <w:rsid w:val="00FE60E2"/>
    <w:rsid w:val="00FE64A9"/>
    <w:rsid w:val="00FE740C"/>
    <w:rsid w:val="00FE762C"/>
    <w:rsid w:val="00FF061D"/>
    <w:rsid w:val="00FF0743"/>
    <w:rsid w:val="00FF0BB5"/>
    <w:rsid w:val="00FF123E"/>
    <w:rsid w:val="00FF1391"/>
    <w:rsid w:val="00FF197D"/>
    <w:rsid w:val="00FF1D38"/>
    <w:rsid w:val="00FF2017"/>
    <w:rsid w:val="00FF2219"/>
    <w:rsid w:val="00FF3458"/>
    <w:rsid w:val="00FF4072"/>
    <w:rsid w:val="00FF4212"/>
    <w:rsid w:val="00FF4902"/>
    <w:rsid w:val="00FF491E"/>
    <w:rsid w:val="00FF5369"/>
    <w:rsid w:val="00FF5BC9"/>
    <w:rsid w:val="00FF6244"/>
    <w:rsid w:val="00FF635A"/>
    <w:rsid w:val="00FF6664"/>
    <w:rsid w:val="00FF678F"/>
    <w:rsid w:val="00FF6BE5"/>
    <w:rsid w:val="00FF77D5"/>
    <w:rsid w:val="00FF7950"/>
    <w:rsid w:val="01EC6D10"/>
    <w:rsid w:val="026C21F1"/>
    <w:rsid w:val="039C407F"/>
    <w:rsid w:val="04F031FB"/>
    <w:rsid w:val="051A0DC4"/>
    <w:rsid w:val="05C4310B"/>
    <w:rsid w:val="05D4309B"/>
    <w:rsid w:val="07456CFC"/>
    <w:rsid w:val="074C3ACA"/>
    <w:rsid w:val="0750067A"/>
    <w:rsid w:val="07685361"/>
    <w:rsid w:val="08181F45"/>
    <w:rsid w:val="083A3F7E"/>
    <w:rsid w:val="092170D3"/>
    <w:rsid w:val="09354491"/>
    <w:rsid w:val="096B4234"/>
    <w:rsid w:val="0A2F5574"/>
    <w:rsid w:val="0A582468"/>
    <w:rsid w:val="0B2E5519"/>
    <w:rsid w:val="0B697506"/>
    <w:rsid w:val="0BBE7E63"/>
    <w:rsid w:val="0C1D705A"/>
    <w:rsid w:val="0C651FA7"/>
    <w:rsid w:val="0F720C87"/>
    <w:rsid w:val="0F7D59F6"/>
    <w:rsid w:val="10B10FD7"/>
    <w:rsid w:val="11113EA3"/>
    <w:rsid w:val="124F42B9"/>
    <w:rsid w:val="125F0C79"/>
    <w:rsid w:val="13252204"/>
    <w:rsid w:val="13B95037"/>
    <w:rsid w:val="13F41DDD"/>
    <w:rsid w:val="1417662E"/>
    <w:rsid w:val="14932956"/>
    <w:rsid w:val="15266E4E"/>
    <w:rsid w:val="154811A8"/>
    <w:rsid w:val="15AC4E1C"/>
    <w:rsid w:val="15FB1C74"/>
    <w:rsid w:val="16B65F5A"/>
    <w:rsid w:val="171D4DF7"/>
    <w:rsid w:val="18031236"/>
    <w:rsid w:val="18540B58"/>
    <w:rsid w:val="19120228"/>
    <w:rsid w:val="191D51C7"/>
    <w:rsid w:val="192727C6"/>
    <w:rsid w:val="194D51B6"/>
    <w:rsid w:val="1A1A7F48"/>
    <w:rsid w:val="1B3C1DD8"/>
    <w:rsid w:val="1C22302A"/>
    <w:rsid w:val="1CA668CE"/>
    <w:rsid w:val="1D8614B0"/>
    <w:rsid w:val="1D996CC8"/>
    <w:rsid w:val="1E177425"/>
    <w:rsid w:val="1EA26D96"/>
    <w:rsid w:val="204563CC"/>
    <w:rsid w:val="21B90060"/>
    <w:rsid w:val="22AE379E"/>
    <w:rsid w:val="239E1A70"/>
    <w:rsid w:val="23FB7914"/>
    <w:rsid w:val="2459377B"/>
    <w:rsid w:val="24AD2BCD"/>
    <w:rsid w:val="24CA0A5A"/>
    <w:rsid w:val="264C077C"/>
    <w:rsid w:val="268D51D4"/>
    <w:rsid w:val="26A72A02"/>
    <w:rsid w:val="274821AC"/>
    <w:rsid w:val="28760EC1"/>
    <w:rsid w:val="289363DE"/>
    <w:rsid w:val="28B409B4"/>
    <w:rsid w:val="28EA443D"/>
    <w:rsid w:val="29042D2C"/>
    <w:rsid w:val="292C2C40"/>
    <w:rsid w:val="2AE46658"/>
    <w:rsid w:val="2B671526"/>
    <w:rsid w:val="2BCF782F"/>
    <w:rsid w:val="2BE97B66"/>
    <w:rsid w:val="2C3529C8"/>
    <w:rsid w:val="2CC74842"/>
    <w:rsid w:val="2E5A3C96"/>
    <w:rsid w:val="2EF312C6"/>
    <w:rsid w:val="2F511A30"/>
    <w:rsid w:val="2F8C7F5C"/>
    <w:rsid w:val="2FB2501E"/>
    <w:rsid w:val="308952B0"/>
    <w:rsid w:val="30DC34B8"/>
    <w:rsid w:val="30EE4C54"/>
    <w:rsid w:val="32147DC4"/>
    <w:rsid w:val="33627CF8"/>
    <w:rsid w:val="33CD3272"/>
    <w:rsid w:val="33E645DC"/>
    <w:rsid w:val="346F60D7"/>
    <w:rsid w:val="34C374AD"/>
    <w:rsid w:val="352B259E"/>
    <w:rsid w:val="353C45ED"/>
    <w:rsid w:val="35616529"/>
    <w:rsid w:val="357905BC"/>
    <w:rsid w:val="35FD12B2"/>
    <w:rsid w:val="362F47C8"/>
    <w:rsid w:val="36870A2A"/>
    <w:rsid w:val="370C56F3"/>
    <w:rsid w:val="37230078"/>
    <w:rsid w:val="373874DE"/>
    <w:rsid w:val="37904D56"/>
    <w:rsid w:val="379C734C"/>
    <w:rsid w:val="37F124D5"/>
    <w:rsid w:val="39176F90"/>
    <w:rsid w:val="39677CC5"/>
    <w:rsid w:val="399D3B0C"/>
    <w:rsid w:val="39F723CF"/>
    <w:rsid w:val="39FC7338"/>
    <w:rsid w:val="3B0864E3"/>
    <w:rsid w:val="3C21710D"/>
    <w:rsid w:val="3CEA39E9"/>
    <w:rsid w:val="3D37175C"/>
    <w:rsid w:val="3D400BA9"/>
    <w:rsid w:val="3DF95A66"/>
    <w:rsid w:val="3E4B6A9B"/>
    <w:rsid w:val="3E8A0FA4"/>
    <w:rsid w:val="3EB428B0"/>
    <w:rsid w:val="3EB6253E"/>
    <w:rsid w:val="3FAA5D1E"/>
    <w:rsid w:val="40546F2B"/>
    <w:rsid w:val="40A85AB9"/>
    <w:rsid w:val="41582E49"/>
    <w:rsid w:val="418D7D70"/>
    <w:rsid w:val="42EA0B36"/>
    <w:rsid w:val="433F5D44"/>
    <w:rsid w:val="43E550B8"/>
    <w:rsid w:val="44B553BD"/>
    <w:rsid w:val="457B3CD9"/>
    <w:rsid w:val="45BF09A2"/>
    <w:rsid w:val="45D81D34"/>
    <w:rsid w:val="45EB1BE1"/>
    <w:rsid w:val="45F41271"/>
    <w:rsid w:val="467A7452"/>
    <w:rsid w:val="4716133E"/>
    <w:rsid w:val="484315B6"/>
    <w:rsid w:val="484F0B92"/>
    <w:rsid w:val="48741AB6"/>
    <w:rsid w:val="48C8585F"/>
    <w:rsid w:val="49940732"/>
    <w:rsid w:val="4A646777"/>
    <w:rsid w:val="4A880DD3"/>
    <w:rsid w:val="4E055E8C"/>
    <w:rsid w:val="4F3F76F2"/>
    <w:rsid w:val="4FAD07BD"/>
    <w:rsid w:val="4FDE15F3"/>
    <w:rsid w:val="506F630E"/>
    <w:rsid w:val="510B13F4"/>
    <w:rsid w:val="52310E93"/>
    <w:rsid w:val="527C2613"/>
    <w:rsid w:val="53397A0C"/>
    <w:rsid w:val="539A2E87"/>
    <w:rsid w:val="53E92AEF"/>
    <w:rsid w:val="54BB1E1B"/>
    <w:rsid w:val="553100D6"/>
    <w:rsid w:val="553E7B18"/>
    <w:rsid w:val="56AE0C92"/>
    <w:rsid w:val="56C41E5B"/>
    <w:rsid w:val="57B32A9F"/>
    <w:rsid w:val="58925DB9"/>
    <w:rsid w:val="58D73C1D"/>
    <w:rsid w:val="5A982114"/>
    <w:rsid w:val="5AB9121B"/>
    <w:rsid w:val="5AEB2255"/>
    <w:rsid w:val="5AF00933"/>
    <w:rsid w:val="5B525C87"/>
    <w:rsid w:val="5B5317F3"/>
    <w:rsid w:val="5C2F1E8F"/>
    <w:rsid w:val="5D494803"/>
    <w:rsid w:val="5D8733B4"/>
    <w:rsid w:val="5DDC7599"/>
    <w:rsid w:val="5F00399C"/>
    <w:rsid w:val="5F1832FB"/>
    <w:rsid w:val="5F28567D"/>
    <w:rsid w:val="5F3B67FC"/>
    <w:rsid w:val="5FF97134"/>
    <w:rsid w:val="5FFF5ED8"/>
    <w:rsid w:val="600A312C"/>
    <w:rsid w:val="604F3196"/>
    <w:rsid w:val="60F25F36"/>
    <w:rsid w:val="624D58C1"/>
    <w:rsid w:val="64A55D99"/>
    <w:rsid w:val="64FA1908"/>
    <w:rsid w:val="65374138"/>
    <w:rsid w:val="65945F13"/>
    <w:rsid w:val="66C828BC"/>
    <w:rsid w:val="67026F67"/>
    <w:rsid w:val="673F3203"/>
    <w:rsid w:val="682C661B"/>
    <w:rsid w:val="69724A89"/>
    <w:rsid w:val="69B30239"/>
    <w:rsid w:val="69F06C95"/>
    <w:rsid w:val="6AF975B9"/>
    <w:rsid w:val="6B4D2434"/>
    <w:rsid w:val="6C080198"/>
    <w:rsid w:val="6C1F6348"/>
    <w:rsid w:val="6C2E088C"/>
    <w:rsid w:val="6D0B1506"/>
    <w:rsid w:val="6DAA37B5"/>
    <w:rsid w:val="6FA84C02"/>
    <w:rsid w:val="70C2647F"/>
    <w:rsid w:val="70CD7F27"/>
    <w:rsid w:val="71385799"/>
    <w:rsid w:val="741713C4"/>
    <w:rsid w:val="74546174"/>
    <w:rsid w:val="74EE5E20"/>
    <w:rsid w:val="751A4987"/>
    <w:rsid w:val="76483B47"/>
    <w:rsid w:val="76C66107"/>
    <w:rsid w:val="78847233"/>
    <w:rsid w:val="79444163"/>
    <w:rsid w:val="7A470084"/>
    <w:rsid w:val="7A5433BE"/>
    <w:rsid w:val="7A763316"/>
    <w:rsid w:val="7A78685F"/>
    <w:rsid w:val="7A9E639B"/>
    <w:rsid w:val="7ADA7350"/>
    <w:rsid w:val="7B0B75EA"/>
    <w:rsid w:val="7B83361B"/>
    <w:rsid w:val="7BD61B65"/>
    <w:rsid w:val="7C974B11"/>
    <w:rsid w:val="7DAF403F"/>
    <w:rsid w:val="7DDF6930"/>
    <w:rsid w:val="7E0C25A3"/>
    <w:rsid w:val="7E7A39CC"/>
    <w:rsid w:val="7EAD77BC"/>
    <w:rsid w:val="7EE4674F"/>
    <w:rsid w:val="7F1E79A3"/>
    <w:rsid w:val="7FDC5D91"/>
    <w:rsid w:val="DCBD4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paragraph" w:styleId="3">
    <w:name w:val="heading 1"/>
    <w:basedOn w:val="1"/>
    <w:next w:val="1"/>
    <w:link w:val="51"/>
    <w:qFormat/>
    <w:uiPriority w:val="0"/>
    <w:pPr>
      <w:keepNext/>
      <w:keepLines/>
      <w:autoSpaceDE w:val="0"/>
      <w:autoSpaceDN w:val="0"/>
      <w:adjustRightInd w:val="0"/>
      <w:spacing w:before="340" w:after="330" w:line="578" w:lineRule="auto"/>
      <w:jc w:val="left"/>
      <w:textAlignment w:val="baseline"/>
      <w:outlineLvl w:val="0"/>
    </w:pPr>
    <w:rPr>
      <w:rFonts w:ascii="宋体" w:eastAsia="宋体"/>
      <w:b/>
      <w:kern w:val="44"/>
      <w:sz w:val="44"/>
    </w:rPr>
  </w:style>
  <w:style w:type="paragraph" w:styleId="4">
    <w:name w:val="heading 2"/>
    <w:basedOn w:val="1"/>
    <w:next w:val="5"/>
    <w:link w:val="53"/>
    <w:qFormat/>
    <w:uiPriority w:val="0"/>
    <w:pPr>
      <w:keepNext/>
      <w:keepLines/>
      <w:autoSpaceDE w:val="0"/>
      <w:autoSpaceDN w:val="0"/>
      <w:adjustRightInd w:val="0"/>
      <w:spacing w:before="260" w:after="260" w:line="416" w:lineRule="auto"/>
      <w:jc w:val="left"/>
      <w:textAlignment w:val="baseline"/>
      <w:outlineLvl w:val="1"/>
    </w:pPr>
    <w:rPr>
      <w:rFonts w:ascii="Arial" w:hAnsi="Arial" w:eastAsia="黑体"/>
      <w:b/>
      <w:kern w:val="0"/>
      <w:sz w:val="32"/>
    </w:rPr>
  </w:style>
  <w:style w:type="paragraph" w:styleId="6">
    <w:name w:val="heading 3"/>
    <w:basedOn w:val="1"/>
    <w:next w:val="1"/>
    <w:link w:val="54"/>
    <w:qFormat/>
    <w:uiPriority w:val="0"/>
    <w:pPr>
      <w:keepNext/>
      <w:keepLines/>
      <w:autoSpaceDE w:val="0"/>
      <w:autoSpaceDN w:val="0"/>
      <w:adjustRightInd w:val="0"/>
      <w:spacing w:before="260" w:after="260" w:line="416" w:lineRule="auto"/>
      <w:jc w:val="left"/>
      <w:textAlignment w:val="baseline"/>
      <w:outlineLvl w:val="2"/>
    </w:pPr>
    <w:rPr>
      <w:rFonts w:ascii="宋体" w:eastAsia="宋体"/>
      <w:b/>
      <w:kern w:val="0"/>
      <w:sz w:val="32"/>
    </w:rPr>
  </w:style>
  <w:style w:type="paragraph" w:styleId="7">
    <w:name w:val="heading 4"/>
    <w:basedOn w:val="1"/>
    <w:next w:val="1"/>
    <w:link w:val="55"/>
    <w:unhideWhenUsed/>
    <w:qFormat/>
    <w:uiPriority w:val="0"/>
    <w:pPr>
      <w:keepNext/>
      <w:keepLines/>
      <w:spacing w:before="280" w:after="290" w:line="376" w:lineRule="auto"/>
      <w:outlineLvl w:val="3"/>
    </w:pPr>
    <w:rPr>
      <w:rFonts w:ascii="等线 Light" w:hAnsi="等线 Light" w:eastAsia="等线 Light"/>
      <w:b/>
      <w:bCs/>
      <w:sz w:val="28"/>
      <w:szCs w:val="28"/>
    </w:rPr>
  </w:style>
  <w:style w:type="paragraph" w:styleId="8">
    <w:name w:val="heading 5"/>
    <w:basedOn w:val="1"/>
    <w:next w:val="1"/>
    <w:link w:val="56"/>
    <w:unhideWhenUsed/>
    <w:qFormat/>
    <w:uiPriority w:val="0"/>
    <w:pPr>
      <w:keepNext/>
      <w:keepLines/>
      <w:spacing w:before="280" w:after="290" w:line="376" w:lineRule="auto"/>
      <w:outlineLvl w:val="4"/>
    </w:pPr>
    <w:rPr>
      <w:b/>
      <w:bCs/>
      <w:sz w:val="28"/>
      <w:szCs w:val="28"/>
    </w:rPr>
  </w:style>
  <w:style w:type="paragraph" w:styleId="9">
    <w:name w:val="heading 6"/>
    <w:basedOn w:val="1"/>
    <w:next w:val="1"/>
    <w:link w:val="57"/>
    <w:qFormat/>
    <w:uiPriority w:val="0"/>
    <w:pPr>
      <w:keepNext/>
      <w:keepLines/>
      <w:spacing w:before="240" w:after="64" w:line="320" w:lineRule="auto"/>
      <w:outlineLvl w:val="5"/>
    </w:pPr>
    <w:rPr>
      <w:rFonts w:ascii="Calibri Light" w:hAnsi="Calibri Light" w:eastAsia="宋体"/>
      <w:b/>
      <w:bCs/>
      <w:sz w:val="24"/>
      <w:szCs w:val="24"/>
    </w:rPr>
  </w:style>
  <w:style w:type="paragraph" w:styleId="10">
    <w:name w:val="heading 7"/>
    <w:basedOn w:val="1"/>
    <w:next w:val="5"/>
    <w:link w:val="58"/>
    <w:qFormat/>
    <w:uiPriority w:val="0"/>
    <w:pPr>
      <w:keepNext/>
      <w:numPr>
        <w:ilvl w:val="6"/>
        <w:numId w:val="1"/>
      </w:numPr>
      <w:tabs>
        <w:tab w:val="left" w:pos="360"/>
        <w:tab w:val="clear" w:pos="1296"/>
      </w:tabs>
      <w:autoSpaceDE w:val="0"/>
      <w:autoSpaceDN w:val="0"/>
      <w:adjustRightInd w:val="0"/>
      <w:spacing w:before="240" w:after="64" w:line="320" w:lineRule="auto"/>
      <w:ind w:left="0" w:firstLine="0"/>
      <w:outlineLvl w:val="6"/>
    </w:pPr>
    <w:rPr>
      <w:rFonts w:ascii="宋体" w:eastAsia="宋体"/>
      <w:b/>
      <w:color w:val="000000"/>
      <w:sz w:val="24"/>
      <w:szCs w:val="24"/>
    </w:rPr>
  </w:style>
  <w:style w:type="paragraph" w:styleId="11">
    <w:name w:val="heading 8"/>
    <w:basedOn w:val="1"/>
    <w:next w:val="5"/>
    <w:link w:val="59"/>
    <w:qFormat/>
    <w:uiPriority w:val="0"/>
    <w:pPr>
      <w:keepNext/>
      <w:numPr>
        <w:ilvl w:val="7"/>
        <w:numId w:val="1"/>
      </w:numPr>
      <w:tabs>
        <w:tab w:val="left" w:pos="360"/>
        <w:tab w:val="clear" w:pos="1440"/>
      </w:tabs>
      <w:autoSpaceDE w:val="0"/>
      <w:autoSpaceDN w:val="0"/>
      <w:adjustRightInd w:val="0"/>
      <w:spacing w:before="240" w:after="64" w:line="320" w:lineRule="auto"/>
      <w:ind w:left="0" w:firstLine="0"/>
      <w:outlineLvl w:val="7"/>
    </w:pPr>
    <w:rPr>
      <w:rFonts w:ascii="Arial" w:hAnsi="Arial" w:eastAsia="黑体"/>
      <w:color w:val="000000"/>
      <w:sz w:val="24"/>
      <w:szCs w:val="24"/>
    </w:rPr>
  </w:style>
  <w:style w:type="paragraph" w:styleId="12">
    <w:name w:val="heading 9"/>
    <w:basedOn w:val="1"/>
    <w:next w:val="5"/>
    <w:link w:val="60"/>
    <w:qFormat/>
    <w:uiPriority w:val="0"/>
    <w:pPr>
      <w:keepNext/>
      <w:numPr>
        <w:ilvl w:val="8"/>
        <w:numId w:val="1"/>
      </w:numPr>
      <w:tabs>
        <w:tab w:val="left" w:pos="360"/>
        <w:tab w:val="clear" w:pos="1584"/>
      </w:tabs>
      <w:autoSpaceDE w:val="0"/>
      <w:autoSpaceDN w:val="0"/>
      <w:adjustRightInd w:val="0"/>
      <w:spacing w:before="240" w:after="64" w:line="320" w:lineRule="auto"/>
      <w:ind w:left="0" w:firstLine="0"/>
      <w:outlineLvl w:val="8"/>
    </w:pPr>
    <w:rPr>
      <w:rFonts w:ascii="Arial" w:hAnsi="Arial" w:eastAsia="黑体"/>
      <w:color w:val="000000"/>
      <w:sz w:val="24"/>
      <w:szCs w:val="24"/>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5"/>
    <w:qFormat/>
    <w:uiPriority w:val="0"/>
    <w:pPr>
      <w:spacing w:line="360" w:lineRule="auto"/>
    </w:pPr>
    <w:rPr>
      <w:rFonts w:ascii="仿宋_GB2312"/>
      <w:sz w:val="28"/>
    </w:rPr>
  </w:style>
  <w:style w:type="paragraph" w:styleId="5">
    <w:name w:val="Normal Indent"/>
    <w:basedOn w:val="1"/>
    <w:link w:val="52"/>
    <w:qFormat/>
    <w:uiPriority w:val="0"/>
    <w:pPr>
      <w:autoSpaceDE w:val="0"/>
      <w:autoSpaceDN w:val="0"/>
      <w:adjustRightInd w:val="0"/>
      <w:ind w:firstLine="420"/>
      <w:jc w:val="left"/>
      <w:textAlignment w:val="baseline"/>
    </w:pPr>
    <w:rPr>
      <w:rFonts w:ascii="宋体" w:eastAsia="宋体"/>
      <w:kern w:val="0"/>
      <w:sz w:val="34"/>
    </w:rPr>
  </w:style>
  <w:style w:type="paragraph" w:styleId="13">
    <w:name w:val="toc 7"/>
    <w:basedOn w:val="1"/>
    <w:next w:val="1"/>
    <w:qFormat/>
    <w:uiPriority w:val="0"/>
    <w:pPr>
      <w:ind w:left="2520" w:leftChars="1200"/>
    </w:pPr>
    <w:rPr>
      <w:rFonts w:ascii="Calibri" w:hAnsi="Calibri" w:eastAsia="宋体"/>
      <w:sz w:val="21"/>
      <w:szCs w:val="22"/>
    </w:rPr>
  </w:style>
  <w:style w:type="paragraph" w:styleId="14">
    <w:name w:val="caption"/>
    <w:basedOn w:val="1"/>
    <w:next w:val="1"/>
    <w:qFormat/>
    <w:uiPriority w:val="0"/>
    <w:rPr>
      <w:rFonts w:ascii="Arial" w:hAnsi="Arial" w:eastAsia="黑体" w:cs="Arial"/>
      <w:sz w:val="20"/>
    </w:rPr>
  </w:style>
  <w:style w:type="paragraph" w:styleId="15">
    <w:name w:val="Document Map"/>
    <w:basedOn w:val="1"/>
    <w:link w:val="74"/>
    <w:qFormat/>
    <w:uiPriority w:val="0"/>
    <w:pPr>
      <w:shd w:val="clear" w:color="auto" w:fill="000080"/>
    </w:pPr>
    <w:rPr>
      <w:kern w:val="0"/>
      <w:shd w:val="clear" w:color="auto" w:fill="000080"/>
    </w:rPr>
  </w:style>
  <w:style w:type="paragraph" w:styleId="16">
    <w:name w:val="annotation text"/>
    <w:basedOn w:val="1"/>
    <w:link w:val="81"/>
    <w:qFormat/>
    <w:uiPriority w:val="0"/>
    <w:pPr>
      <w:jc w:val="left"/>
    </w:pPr>
    <w:rPr>
      <w:rFonts w:eastAsia="宋体"/>
      <w:sz w:val="21"/>
      <w:szCs w:val="24"/>
    </w:rPr>
  </w:style>
  <w:style w:type="paragraph" w:styleId="17">
    <w:name w:val="Body Text 3"/>
    <w:basedOn w:val="1"/>
    <w:link w:val="86"/>
    <w:qFormat/>
    <w:uiPriority w:val="0"/>
    <w:pPr>
      <w:spacing w:after="120"/>
    </w:pPr>
    <w:rPr>
      <w:rFonts w:eastAsia="宋体"/>
      <w:sz w:val="16"/>
      <w:szCs w:val="16"/>
    </w:rPr>
  </w:style>
  <w:style w:type="paragraph" w:styleId="18">
    <w:name w:val="Body Text Indent"/>
    <w:basedOn w:val="1"/>
    <w:link w:val="63"/>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19">
    <w:name w:val="Block Text"/>
    <w:basedOn w:val="1"/>
    <w:qFormat/>
    <w:uiPriority w:val="0"/>
    <w:pPr>
      <w:widowControl/>
      <w:ind w:left="226" w:leftChars="94" w:right="103" w:rightChars="43"/>
      <w:jc w:val="left"/>
    </w:pPr>
    <w:rPr>
      <w:rFonts w:ascii="宋体" w:hAnsi="宋体" w:eastAsia="宋体"/>
      <w:color w:val="FF0000"/>
      <w:kern w:val="0"/>
      <w:sz w:val="24"/>
      <w:szCs w:val="24"/>
    </w:rPr>
  </w:style>
  <w:style w:type="paragraph" w:styleId="20">
    <w:name w:val="index 4"/>
    <w:basedOn w:val="1"/>
    <w:next w:val="1"/>
    <w:qFormat/>
    <w:uiPriority w:val="0"/>
    <w:pPr>
      <w:ind w:left="600" w:leftChars="600"/>
    </w:pPr>
    <w:rPr>
      <w:rFonts w:eastAsia="宋体"/>
      <w:sz w:val="21"/>
      <w:szCs w:val="24"/>
    </w:rPr>
  </w:style>
  <w:style w:type="paragraph" w:styleId="21">
    <w:name w:val="toc 5"/>
    <w:basedOn w:val="1"/>
    <w:next w:val="1"/>
    <w:qFormat/>
    <w:uiPriority w:val="0"/>
    <w:pPr>
      <w:tabs>
        <w:tab w:val="right" w:leader="dot" w:pos="8296"/>
      </w:tabs>
      <w:ind w:left="1050" w:leftChars="500"/>
    </w:pPr>
    <w:rPr>
      <w:rFonts w:ascii="Calibri" w:hAnsi="Calibri" w:eastAsia="宋体"/>
      <w:sz w:val="21"/>
      <w:szCs w:val="22"/>
    </w:rPr>
  </w:style>
  <w:style w:type="paragraph" w:styleId="22">
    <w:name w:val="toc 3"/>
    <w:basedOn w:val="1"/>
    <w:next w:val="1"/>
    <w:qFormat/>
    <w:uiPriority w:val="0"/>
    <w:pPr>
      <w:tabs>
        <w:tab w:val="right" w:leader="dot" w:pos="8505"/>
      </w:tabs>
      <w:ind w:left="200" w:leftChars="200" w:right="100" w:rightChars="100"/>
      <w:jc w:val="left"/>
    </w:pPr>
    <w:rPr>
      <w:rFonts w:ascii="仿宋_GB2312" w:hAnsi="宋体" w:eastAsia="宋体"/>
      <w:sz w:val="21"/>
      <w:szCs w:val="32"/>
    </w:rPr>
  </w:style>
  <w:style w:type="paragraph" w:styleId="23">
    <w:name w:val="Plain Text"/>
    <w:basedOn w:val="1"/>
    <w:link w:val="76"/>
    <w:qFormat/>
    <w:uiPriority w:val="0"/>
    <w:rPr>
      <w:rFonts w:ascii="宋体" w:hAnsi="Courier New" w:eastAsia="宋体"/>
      <w:sz w:val="21"/>
    </w:rPr>
  </w:style>
  <w:style w:type="paragraph" w:styleId="24">
    <w:name w:val="toc 8"/>
    <w:basedOn w:val="1"/>
    <w:next w:val="1"/>
    <w:qFormat/>
    <w:uiPriority w:val="0"/>
    <w:pPr>
      <w:ind w:left="2940" w:leftChars="1400"/>
    </w:pPr>
    <w:rPr>
      <w:rFonts w:ascii="Calibri" w:hAnsi="Calibri" w:eastAsia="宋体"/>
      <w:sz w:val="21"/>
      <w:szCs w:val="22"/>
    </w:rPr>
  </w:style>
  <w:style w:type="paragraph" w:styleId="25">
    <w:name w:val="Date"/>
    <w:basedOn w:val="1"/>
    <w:next w:val="1"/>
    <w:link w:val="72"/>
    <w:qFormat/>
    <w:uiPriority w:val="0"/>
    <w:pPr>
      <w:autoSpaceDE w:val="0"/>
      <w:autoSpaceDN w:val="0"/>
      <w:adjustRightInd w:val="0"/>
      <w:textAlignment w:val="baseline"/>
    </w:pPr>
    <w:rPr>
      <w:rFonts w:ascii="宋体" w:eastAsia="宋体"/>
      <w:kern w:val="0"/>
      <w:sz w:val="28"/>
    </w:rPr>
  </w:style>
  <w:style w:type="paragraph" w:styleId="26">
    <w:name w:val="Body Text Indent 2"/>
    <w:basedOn w:val="1"/>
    <w:link w:val="80"/>
    <w:qFormat/>
    <w:uiPriority w:val="0"/>
    <w:pPr>
      <w:spacing w:after="120" w:line="480" w:lineRule="auto"/>
      <w:ind w:left="420" w:leftChars="200"/>
    </w:pPr>
  </w:style>
  <w:style w:type="paragraph" w:styleId="27">
    <w:name w:val="Balloon Text"/>
    <w:basedOn w:val="1"/>
    <w:link w:val="67"/>
    <w:qFormat/>
    <w:uiPriority w:val="0"/>
    <w:rPr>
      <w:kern w:val="0"/>
      <w:sz w:val="18"/>
      <w:szCs w:val="18"/>
    </w:rPr>
  </w:style>
  <w:style w:type="paragraph" w:styleId="28">
    <w:name w:val="footer"/>
    <w:basedOn w:val="1"/>
    <w:link w:val="66"/>
    <w:qFormat/>
    <w:uiPriority w:val="99"/>
    <w:pPr>
      <w:tabs>
        <w:tab w:val="center" w:pos="4153"/>
        <w:tab w:val="right" w:pos="8306"/>
      </w:tabs>
      <w:autoSpaceDE w:val="0"/>
      <w:autoSpaceDN w:val="0"/>
      <w:adjustRightInd w:val="0"/>
      <w:snapToGrid w:val="0"/>
      <w:jc w:val="left"/>
      <w:textAlignment w:val="baseline"/>
    </w:pPr>
    <w:rPr>
      <w:rFonts w:ascii="宋体" w:eastAsia="宋体"/>
      <w:kern w:val="0"/>
      <w:sz w:val="18"/>
    </w:rPr>
  </w:style>
  <w:style w:type="paragraph" w:styleId="29">
    <w:name w:val="header"/>
    <w:basedOn w:val="1"/>
    <w:link w:val="77"/>
    <w:qFormat/>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eastAsia="宋体"/>
      <w:kern w:val="0"/>
      <w:sz w:val="18"/>
    </w:rPr>
  </w:style>
  <w:style w:type="paragraph" w:styleId="30">
    <w:name w:val="toc 1"/>
    <w:basedOn w:val="1"/>
    <w:next w:val="1"/>
    <w:qFormat/>
    <w:uiPriority w:val="39"/>
    <w:pPr>
      <w:tabs>
        <w:tab w:val="right" w:leader="dot" w:pos="8505"/>
      </w:tabs>
      <w:snapToGrid w:val="0"/>
      <w:jc w:val="left"/>
    </w:pPr>
    <w:rPr>
      <w:rFonts w:ascii="仿宋_GB2312" w:hAnsi="宋体" w:eastAsia="宋体"/>
      <w:bCs/>
      <w:sz w:val="28"/>
      <w:szCs w:val="30"/>
    </w:rPr>
  </w:style>
  <w:style w:type="paragraph" w:styleId="31">
    <w:name w:val="toc 4"/>
    <w:basedOn w:val="1"/>
    <w:next w:val="1"/>
    <w:qFormat/>
    <w:uiPriority w:val="0"/>
    <w:pPr>
      <w:tabs>
        <w:tab w:val="left" w:pos="1890"/>
        <w:tab w:val="right" w:leader="dot" w:pos="8296"/>
      </w:tabs>
      <w:ind w:left="630" w:leftChars="300"/>
    </w:pPr>
    <w:rPr>
      <w:rFonts w:ascii="Calibri" w:hAnsi="Calibri" w:eastAsia="宋体"/>
      <w:sz w:val="21"/>
      <w:szCs w:val="22"/>
    </w:rPr>
  </w:style>
  <w:style w:type="paragraph" w:styleId="32">
    <w:name w:val="Subtitle"/>
    <w:basedOn w:val="1"/>
    <w:next w:val="1"/>
    <w:link w:val="155"/>
    <w:qFormat/>
    <w:uiPriority w:val="0"/>
    <w:pPr>
      <w:spacing w:before="240" w:after="60" w:line="312" w:lineRule="auto"/>
      <w:jc w:val="center"/>
      <w:outlineLvl w:val="1"/>
    </w:pPr>
    <w:rPr>
      <w:rFonts w:ascii="Cambria" w:hAnsi="Cambria" w:eastAsia="宋体"/>
      <w:b/>
      <w:bCs/>
      <w:kern w:val="28"/>
      <w:sz w:val="32"/>
      <w:szCs w:val="32"/>
    </w:rPr>
  </w:style>
  <w:style w:type="paragraph" w:styleId="33">
    <w:name w:val="footnote text"/>
    <w:basedOn w:val="1"/>
    <w:link w:val="75"/>
    <w:qFormat/>
    <w:uiPriority w:val="0"/>
    <w:pPr>
      <w:snapToGrid w:val="0"/>
      <w:jc w:val="left"/>
    </w:pPr>
    <w:rPr>
      <w:sz w:val="18"/>
      <w:szCs w:val="18"/>
    </w:rPr>
  </w:style>
  <w:style w:type="paragraph" w:styleId="34">
    <w:name w:val="toc 6"/>
    <w:basedOn w:val="1"/>
    <w:next w:val="1"/>
    <w:qFormat/>
    <w:uiPriority w:val="0"/>
    <w:pPr>
      <w:ind w:left="2100" w:leftChars="1000"/>
    </w:pPr>
    <w:rPr>
      <w:rFonts w:ascii="Calibri" w:hAnsi="Calibri" w:eastAsia="宋体"/>
      <w:sz w:val="21"/>
      <w:szCs w:val="22"/>
    </w:rPr>
  </w:style>
  <w:style w:type="paragraph" w:styleId="35">
    <w:name w:val="Body Text Indent 3"/>
    <w:basedOn w:val="1"/>
    <w:link w:val="62"/>
    <w:qFormat/>
    <w:uiPriority w:val="0"/>
    <w:pPr>
      <w:spacing w:after="120"/>
      <w:ind w:left="420" w:leftChars="200"/>
    </w:pPr>
    <w:rPr>
      <w:sz w:val="16"/>
      <w:szCs w:val="16"/>
    </w:rPr>
  </w:style>
  <w:style w:type="paragraph" w:styleId="36">
    <w:name w:val="toc 2"/>
    <w:basedOn w:val="1"/>
    <w:next w:val="1"/>
    <w:qFormat/>
    <w:uiPriority w:val="39"/>
    <w:pPr>
      <w:tabs>
        <w:tab w:val="right" w:leader="dot" w:pos="8505"/>
      </w:tabs>
      <w:adjustRightInd w:val="0"/>
      <w:snapToGrid w:val="0"/>
      <w:ind w:left="150" w:leftChars="150" w:right="150" w:rightChars="150"/>
      <w:jc w:val="left"/>
    </w:pPr>
    <w:rPr>
      <w:rFonts w:ascii="仿宋_GB2312" w:hAnsi="宋体" w:eastAsia="宋体"/>
      <w:sz w:val="28"/>
      <w:szCs w:val="32"/>
    </w:rPr>
  </w:style>
  <w:style w:type="paragraph" w:styleId="37">
    <w:name w:val="toc 9"/>
    <w:basedOn w:val="1"/>
    <w:next w:val="1"/>
    <w:qFormat/>
    <w:uiPriority w:val="0"/>
    <w:pPr>
      <w:ind w:left="3360" w:leftChars="1600"/>
    </w:pPr>
  </w:style>
  <w:style w:type="paragraph" w:styleId="38">
    <w:name w:val="Body Text 2"/>
    <w:basedOn w:val="1"/>
    <w:link w:val="85"/>
    <w:qFormat/>
    <w:uiPriority w:val="0"/>
    <w:pPr>
      <w:spacing w:after="120" w:line="480" w:lineRule="auto"/>
    </w:pPr>
    <w:rPr>
      <w:rFonts w:eastAsia="宋体"/>
      <w:sz w:val="21"/>
      <w:szCs w:val="24"/>
    </w:rPr>
  </w:style>
  <w:style w:type="paragraph" w:styleId="39">
    <w:name w:val="Normal (Web)"/>
    <w:basedOn w:val="1"/>
    <w:qFormat/>
    <w:uiPriority w:val="0"/>
    <w:pPr>
      <w:widowControl/>
      <w:jc w:val="left"/>
    </w:pPr>
    <w:rPr>
      <w:rFonts w:ascii="宋体" w:hAnsi="宋体" w:eastAsia="宋体" w:cs="宋体"/>
      <w:kern w:val="0"/>
      <w:sz w:val="24"/>
      <w:szCs w:val="24"/>
    </w:rPr>
  </w:style>
  <w:style w:type="paragraph" w:styleId="40">
    <w:name w:val="Title"/>
    <w:basedOn w:val="1"/>
    <w:next w:val="1"/>
    <w:link w:val="83"/>
    <w:qFormat/>
    <w:uiPriority w:val="0"/>
    <w:pPr>
      <w:spacing w:before="240" w:after="60"/>
      <w:jc w:val="center"/>
      <w:outlineLvl w:val="0"/>
    </w:pPr>
    <w:rPr>
      <w:rFonts w:ascii="Calibri Light" w:hAnsi="Calibri Light" w:eastAsia="宋体"/>
      <w:b/>
      <w:bCs/>
      <w:sz w:val="32"/>
      <w:szCs w:val="32"/>
    </w:rPr>
  </w:style>
  <w:style w:type="paragraph" w:styleId="41">
    <w:name w:val="annotation subject"/>
    <w:basedOn w:val="16"/>
    <w:next w:val="16"/>
    <w:link w:val="84"/>
    <w:qFormat/>
    <w:uiPriority w:val="0"/>
    <w:rPr>
      <w:rFonts w:eastAsia="仿宋_GB2312"/>
      <w:b/>
      <w:bCs/>
      <w:sz w:val="30"/>
      <w:szCs w:val="20"/>
    </w:rPr>
  </w:style>
  <w:style w:type="table" w:styleId="43">
    <w:name w:val="Table Grid"/>
    <w:basedOn w:val="4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Emphasis"/>
    <w:qFormat/>
    <w:uiPriority w:val="0"/>
    <w:rPr>
      <w:i/>
      <w:iCs/>
    </w:rPr>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标题 1 字符"/>
    <w:link w:val="3"/>
    <w:qFormat/>
    <w:uiPriority w:val="0"/>
    <w:rPr>
      <w:rFonts w:ascii="宋体" w:eastAsia="宋体"/>
      <w:b/>
      <w:kern w:val="44"/>
      <w:sz w:val="44"/>
      <w:lang w:val="en-US" w:eastAsia="zh-CN" w:bidi="ar-SA"/>
    </w:rPr>
  </w:style>
  <w:style w:type="character" w:customStyle="1" w:styleId="52">
    <w:name w:val="正文缩进 字符"/>
    <w:link w:val="5"/>
    <w:qFormat/>
    <w:uiPriority w:val="0"/>
    <w:rPr>
      <w:rFonts w:ascii="宋体" w:eastAsia="宋体"/>
      <w:sz w:val="34"/>
      <w:lang w:val="en-US" w:eastAsia="zh-CN" w:bidi="ar-SA"/>
    </w:rPr>
  </w:style>
  <w:style w:type="character" w:customStyle="1" w:styleId="53">
    <w:name w:val="标题 2 字符"/>
    <w:link w:val="4"/>
    <w:qFormat/>
    <w:uiPriority w:val="0"/>
    <w:rPr>
      <w:rFonts w:ascii="Arial" w:hAnsi="Arial" w:eastAsia="黑体"/>
      <w:b/>
      <w:sz w:val="32"/>
      <w:lang w:val="en-US" w:eastAsia="zh-CN" w:bidi="ar-SA"/>
    </w:rPr>
  </w:style>
  <w:style w:type="character" w:customStyle="1" w:styleId="54">
    <w:name w:val="标题 3 字符"/>
    <w:link w:val="6"/>
    <w:qFormat/>
    <w:uiPriority w:val="0"/>
    <w:rPr>
      <w:rFonts w:ascii="宋体" w:eastAsia="宋体"/>
      <w:b/>
      <w:sz w:val="32"/>
      <w:lang w:val="en-US" w:eastAsia="zh-CN" w:bidi="ar-SA"/>
    </w:rPr>
  </w:style>
  <w:style w:type="character" w:customStyle="1" w:styleId="55">
    <w:name w:val="标题 4 字符"/>
    <w:link w:val="7"/>
    <w:qFormat/>
    <w:uiPriority w:val="0"/>
    <w:rPr>
      <w:rFonts w:ascii="等线 Light" w:hAnsi="等线 Light" w:eastAsia="等线 Light" w:cs="Times New Roman"/>
      <w:b/>
      <w:bCs/>
      <w:kern w:val="2"/>
      <w:sz w:val="28"/>
      <w:szCs w:val="28"/>
    </w:rPr>
  </w:style>
  <w:style w:type="character" w:customStyle="1" w:styleId="56">
    <w:name w:val="标题 5 字符"/>
    <w:basedOn w:val="44"/>
    <w:link w:val="8"/>
    <w:qFormat/>
    <w:uiPriority w:val="0"/>
    <w:rPr>
      <w:rFonts w:eastAsia="仿宋_GB2312"/>
      <w:b/>
      <w:bCs/>
      <w:kern w:val="2"/>
      <w:sz w:val="28"/>
      <w:szCs w:val="28"/>
    </w:rPr>
  </w:style>
  <w:style w:type="character" w:customStyle="1" w:styleId="57">
    <w:name w:val="标题 6 字符"/>
    <w:link w:val="9"/>
    <w:qFormat/>
    <w:uiPriority w:val="0"/>
    <w:rPr>
      <w:rFonts w:ascii="Calibri Light" w:hAnsi="Calibri Light" w:eastAsia="宋体" w:cs="Times New Roman"/>
      <w:b/>
      <w:bCs/>
      <w:kern w:val="2"/>
      <w:sz w:val="24"/>
      <w:szCs w:val="24"/>
    </w:rPr>
  </w:style>
  <w:style w:type="character" w:customStyle="1" w:styleId="58">
    <w:name w:val="标题 7 字符"/>
    <w:link w:val="10"/>
    <w:qFormat/>
    <w:uiPriority w:val="0"/>
    <w:rPr>
      <w:rFonts w:ascii="宋体"/>
      <w:b/>
      <w:color w:val="000000"/>
      <w:kern w:val="2"/>
      <w:sz w:val="24"/>
      <w:szCs w:val="24"/>
    </w:rPr>
  </w:style>
  <w:style w:type="character" w:customStyle="1" w:styleId="59">
    <w:name w:val="标题 8 字符"/>
    <w:link w:val="11"/>
    <w:qFormat/>
    <w:uiPriority w:val="0"/>
    <w:rPr>
      <w:rFonts w:ascii="Arial" w:hAnsi="Arial" w:eastAsia="黑体"/>
      <w:color w:val="000000"/>
      <w:kern w:val="2"/>
      <w:sz w:val="24"/>
      <w:szCs w:val="24"/>
    </w:rPr>
  </w:style>
  <w:style w:type="character" w:customStyle="1" w:styleId="60">
    <w:name w:val="标题 9 字符"/>
    <w:link w:val="12"/>
    <w:qFormat/>
    <w:uiPriority w:val="0"/>
    <w:rPr>
      <w:rFonts w:ascii="Arial" w:hAnsi="Arial" w:eastAsia="黑体"/>
      <w:color w:val="000000"/>
      <w:kern w:val="2"/>
      <w:sz w:val="24"/>
      <w:szCs w:val="24"/>
    </w:rPr>
  </w:style>
  <w:style w:type="character" w:customStyle="1" w:styleId="61">
    <w:name w:val="marklong"/>
    <w:basedOn w:val="44"/>
    <w:qFormat/>
    <w:uiPriority w:val="0"/>
  </w:style>
  <w:style w:type="character" w:customStyle="1" w:styleId="62">
    <w:name w:val="正文文本缩进 3 字符"/>
    <w:link w:val="35"/>
    <w:qFormat/>
    <w:uiPriority w:val="99"/>
    <w:rPr>
      <w:rFonts w:eastAsia="仿宋_GB2312"/>
      <w:kern w:val="2"/>
      <w:sz w:val="16"/>
      <w:szCs w:val="16"/>
      <w:lang w:val="en-US" w:eastAsia="zh-CN" w:bidi="ar-SA"/>
    </w:rPr>
  </w:style>
  <w:style w:type="character" w:customStyle="1" w:styleId="63">
    <w:name w:val="正文文本缩进 字符"/>
    <w:link w:val="18"/>
    <w:qFormat/>
    <w:uiPriority w:val="99"/>
    <w:rPr>
      <w:rFonts w:ascii="仿宋_GB2312" w:eastAsia="仿宋_GB2312"/>
      <w:sz w:val="28"/>
      <w:lang w:val="en-US" w:eastAsia="zh-CN" w:bidi="ar-SA"/>
    </w:rPr>
  </w:style>
  <w:style w:type="character" w:customStyle="1" w:styleId="64">
    <w:name w:val="ca-11"/>
    <w:qFormat/>
    <w:uiPriority w:val="0"/>
    <w:rPr>
      <w:rFonts w:hint="default" w:ascii="Times New Roman" w:hAnsi="Times New Roman" w:cs="Times New Roman"/>
      <w:b/>
      <w:bCs/>
      <w:spacing w:val="-20"/>
      <w:sz w:val="30"/>
      <w:szCs w:val="30"/>
    </w:rPr>
  </w:style>
  <w:style w:type="character" w:customStyle="1" w:styleId="65">
    <w:name w:val="正文文本 字符"/>
    <w:link w:val="2"/>
    <w:qFormat/>
    <w:uiPriority w:val="0"/>
    <w:rPr>
      <w:rFonts w:ascii="仿宋_GB2312" w:eastAsia="仿宋_GB2312"/>
      <w:kern w:val="2"/>
      <w:sz w:val="28"/>
      <w:lang w:val="en-US" w:eastAsia="zh-CN" w:bidi="ar-SA"/>
    </w:rPr>
  </w:style>
  <w:style w:type="character" w:customStyle="1" w:styleId="66">
    <w:name w:val="页脚 字符"/>
    <w:link w:val="28"/>
    <w:qFormat/>
    <w:uiPriority w:val="99"/>
    <w:rPr>
      <w:rFonts w:ascii="宋体" w:eastAsia="宋体"/>
      <w:sz w:val="18"/>
      <w:lang w:val="en-US" w:eastAsia="zh-CN" w:bidi="ar-SA"/>
    </w:rPr>
  </w:style>
  <w:style w:type="character" w:customStyle="1" w:styleId="67">
    <w:name w:val="批注框文本 字符"/>
    <w:link w:val="27"/>
    <w:qFormat/>
    <w:uiPriority w:val="0"/>
    <w:rPr>
      <w:rFonts w:eastAsia="仿宋_GB2312"/>
      <w:sz w:val="18"/>
      <w:szCs w:val="18"/>
      <w:lang w:bidi="ar-SA"/>
    </w:rPr>
  </w:style>
  <w:style w:type="character" w:customStyle="1" w:styleId="68">
    <w:name w:val="无"/>
    <w:qFormat/>
    <w:uiPriority w:val="0"/>
  </w:style>
  <w:style w:type="character" w:customStyle="1" w:styleId="69">
    <w:name w:val="breadcrumbnavclass"/>
    <w:basedOn w:val="44"/>
    <w:qFormat/>
    <w:uiPriority w:val="0"/>
  </w:style>
  <w:style w:type="character" w:customStyle="1" w:styleId="70">
    <w:name w:val="0921 Char1"/>
    <w:qFormat/>
    <w:uiPriority w:val="0"/>
    <w:rPr>
      <w:rFonts w:ascii="宋体" w:hAnsi="Courier New" w:eastAsia="宋体"/>
      <w:kern w:val="2"/>
      <w:sz w:val="21"/>
      <w:lang w:val="en-US" w:eastAsia="zh-CN" w:bidi="ar-SA"/>
    </w:rPr>
  </w:style>
  <w:style w:type="character" w:customStyle="1" w:styleId="71">
    <w:name w:val="ca-21"/>
    <w:qFormat/>
    <w:uiPriority w:val="0"/>
    <w:rPr>
      <w:rFonts w:hint="eastAsia" w:ascii="仿宋_GB2312" w:eastAsia="仿宋_GB2312"/>
      <w:b/>
      <w:bCs/>
      <w:spacing w:val="-20"/>
      <w:sz w:val="30"/>
      <w:szCs w:val="30"/>
    </w:rPr>
  </w:style>
  <w:style w:type="character" w:customStyle="1" w:styleId="72">
    <w:name w:val="日期 字符"/>
    <w:link w:val="25"/>
    <w:qFormat/>
    <w:uiPriority w:val="0"/>
    <w:rPr>
      <w:rFonts w:ascii="宋体" w:eastAsia="宋体"/>
      <w:sz w:val="28"/>
      <w:lang w:val="en-US" w:eastAsia="zh-CN" w:bidi="ar-SA"/>
    </w:rPr>
  </w:style>
  <w:style w:type="character" w:customStyle="1" w:styleId="73">
    <w:name w:val="ca-61"/>
    <w:qFormat/>
    <w:uiPriority w:val="0"/>
    <w:rPr>
      <w:rFonts w:hint="eastAsia" w:ascii="宋体" w:hAnsi="宋体" w:eastAsia="宋体"/>
      <w:color w:val="FF0000"/>
      <w:sz w:val="21"/>
      <w:szCs w:val="21"/>
    </w:rPr>
  </w:style>
  <w:style w:type="character" w:customStyle="1" w:styleId="74">
    <w:name w:val="文档结构图 字符"/>
    <w:link w:val="15"/>
    <w:qFormat/>
    <w:uiPriority w:val="0"/>
    <w:rPr>
      <w:rFonts w:eastAsia="仿宋_GB2312"/>
      <w:sz w:val="30"/>
      <w:shd w:val="clear" w:color="auto" w:fill="000080"/>
      <w:lang w:bidi="ar-SA"/>
    </w:rPr>
  </w:style>
  <w:style w:type="character" w:customStyle="1" w:styleId="75">
    <w:name w:val="脚注文本 字符"/>
    <w:link w:val="33"/>
    <w:qFormat/>
    <w:uiPriority w:val="99"/>
    <w:rPr>
      <w:rFonts w:eastAsia="仿宋_GB2312"/>
      <w:kern w:val="2"/>
      <w:sz w:val="18"/>
      <w:szCs w:val="18"/>
    </w:rPr>
  </w:style>
  <w:style w:type="character" w:customStyle="1" w:styleId="76">
    <w:name w:val="纯文本 字符"/>
    <w:link w:val="23"/>
    <w:qFormat/>
    <w:uiPriority w:val="0"/>
    <w:rPr>
      <w:rFonts w:ascii="宋体" w:hAnsi="Courier New" w:eastAsia="宋体"/>
      <w:kern w:val="2"/>
      <w:sz w:val="21"/>
      <w:lang w:val="en-US" w:eastAsia="zh-CN" w:bidi="ar-SA"/>
    </w:rPr>
  </w:style>
  <w:style w:type="character" w:customStyle="1" w:styleId="77">
    <w:name w:val="页眉 字符"/>
    <w:link w:val="29"/>
    <w:qFormat/>
    <w:uiPriority w:val="0"/>
    <w:rPr>
      <w:rFonts w:ascii="宋体" w:eastAsia="宋体"/>
      <w:sz w:val="18"/>
      <w:lang w:val="en-US" w:eastAsia="zh-CN" w:bidi="ar-SA"/>
    </w:rPr>
  </w:style>
  <w:style w:type="character" w:customStyle="1" w:styleId="78">
    <w:name w:val="ca-31"/>
    <w:qFormat/>
    <w:uiPriority w:val="0"/>
    <w:rPr>
      <w:rFonts w:hint="eastAsia" w:ascii="宋体" w:hAnsi="宋体" w:eastAsia="宋体"/>
      <w:sz w:val="21"/>
      <w:szCs w:val="21"/>
    </w:rPr>
  </w:style>
  <w:style w:type="character" w:customStyle="1" w:styleId="79">
    <w:name w:val="ca-51"/>
    <w:qFormat/>
    <w:uiPriority w:val="0"/>
    <w:rPr>
      <w:rFonts w:hint="eastAsia" w:ascii="宋体" w:hAnsi="宋体" w:eastAsia="宋体"/>
      <w:b/>
      <w:bCs/>
      <w:color w:val="FF0000"/>
      <w:spacing w:val="-20"/>
      <w:sz w:val="21"/>
      <w:szCs w:val="21"/>
    </w:rPr>
  </w:style>
  <w:style w:type="character" w:customStyle="1" w:styleId="80">
    <w:name w:val="正文文本缩进 2 字符"/>
    <w:link w:val="26"/>
    <w:qFormat/>
    <w:uiPriority w:val="99"/>
    <w:rPr>
      <w:rFonts w:eastAsia="仿宋_GB2312"/>
      <w:kern w:val="2"/>
      <w:sz w:val="30"/>
    </w:rPr>
  </w:style>
  <w:style w:type="character" w:customStyle="1" w:styleId="81">
    <w:name w:val="批注文字 字符"/>
    <w:link w:val="16"/>
    <w:qFormat/>
    <w:uiPriority w:val="0"/>
    <w:rPr>
      <w:kern w:val="2"/>
      <w:sz w:val="21"/>
      <w:szCs w:val="24"/>
    </w:rPr>
  </w:style>
  <w:style w:type="character" w:customStyle="1" w:styleId="82">
    <w:name w:val="ca-41"/>
    <w:qFormat/>
    <w:uiPriority w:val="0"/>
    <w:rPr>
      <w:rFonts w:hint="eastAsia" w:ascii="宋体" w:hAnsi="宋体" w:eastAsia="宋体"/>
      <w:b/>
      <w:bCs/>
      <w:spacing w:val="-20"/>
      <w:sz w:val="21"/>
      <w:szCs w:val="21"/>
    </w:rPr>
  </w:style>
  <w:style w:type="character" w:customStyle="1" w:styleId="83">
    <w:name w:val="标题 字符"/>
    <w:link w:val="40"/>
    <w:qFormat/>
    <w:uiPriority w:val="0"/>
    <w:rPr>
      <w:rFonts w:ascii="Calibri Light" w:hAnsi="Calibri Light" w:cs="Times New Roman"/>
      <w:b/>
      <w:bCs/>
      <w:kern w:val="2"/>
      <w:sz w:val="32"/>
      <w:szCs w:val="32"/>
    </w:rPr>
  </w:style>
  <w:style w:type="character" w:customStyle="1" w:styleId="84">
    <w:name w:val="批注主题 字符"/>
    <w:link w:val="41"/>
    <w:qFormat/>
    <w:uiPriority w:val="0"/>
    <w:rPr>
      <w:rFonts w:eastAsia="仿宋_GB2312"/>
      <w:b/>
      <w:bCs/>
      <w:kern w:val="2"/>
      <w:sz w:val="30"/>
    </w:rPr>
  </w:style>
  <w:style w:type="character" w:customStyle="1" w:styleId="85">
    <w:name w:val="正文文本 2 字符"/>
    <w:link w:val="38"/>
    <w:qFormat/>
    <w:uiPriority w:val="99"/>
    <w:rPr>
      <w:rFonts w:eastAsia="宋体"/>
      <w:kern w:val="2"/>
      <w:sz w:val="21"/>
      <w:szCs w:val="24"/>
      <w:lang w:val="en-US" w:eastAsia="zh-CN" w:bidi="ar-SA"/>
    </w:rPr>
  </w:style>
  <w:style w:type="character" w:customStyle="1" w:styleId="86">
    <w:name w:val="正文文本 3 字符"/>
    <w:link w:val="17"/>
    <w:qFormat/>
    <w:uiPriority w:val="99"/>
    <w:rPr>
      <w:rFonts w:eastAsia="宋体"/>
      <w:kern w:val="2"/>
      <w:sz w:val="16"/>
      <w:szCs w:val="16"/>
      <w:lang w:val="en-US" w:eastAsia="zh-CN" w:bidi="ar-SA"/>
    </w:rPr>
  </w:style>
  <w:style w:type="paragraph" w:customStyle="1" w:styleId="87">
    <w:name w:val="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88">
    <w:name w:val="pa-2"/>
    <w:basedOn w:val="1"/>
    <w:qFormat/>
    <w:uiPriority w:val="0"/>
    <w:pPr>
      <w:widowControl/>
      <w:spacing w:line="280" w:lineRule="atLeast"/>
      <w:ind w:firstLine="420"/>
    </w:pPr>
    <w:rPr>
      <w:rFonts w:ascii="宋体" w:hAnsi="宋体" w:eastAsia="宋体" w:cs="宋体"/>
      <w:kern w:val="0"/>
      <w:sz w:val="24"/>
      <w:szCs w:val="24"/>
    </w:rPr>
  </w:style>
  <w:style w:type="paragraph" w:customStyle="1" w:styleId="89">
    <w:name w:val="pa-4"/>
    <w:basedOn w:val="1"/>
    <w:qFormat/>
    <w:uiPriority w:val="0"/>
    <w:pPr>
      <w:widowControl/>
      <w:spacing w:line="280" w:lineRule="atLeast"/>
      <w:jc w:val="center"/>
    </w:pPr>
    <w:rPr>
      <w:rFonts w:ascii="宋体" w:hAnsi="宋体" w:eastAsia="宋体" w:cs="宋体"/>
      <w:kern w:val="0"/>
      <w:sz w:val="24"/>
      <w:szCs w:val="24"/>
    </w:rPr>
  </w:style>
  <w:style w:type="paragraph" w:customStyle="1" w:styleId="90">
    <w:name w:val="项符&gt;"/>
    <w:basedOn w:val="1"/>
    <w:qFormat/>
    <w:uiPriority w:val="0"/>
    <w:pPr>
      <w:spacing w:line="360" w:lineRule="auto"/>
    </w:pPr>
    <w:rPr>
      <w:rFonts w:ascii="宋体" w:hAnsi="宋体" w:eastAsia="宋体"/>
      <w:sz w:val="24"/>
      <w:szCs w:val="30"/>
    </w:rPr>
  </w:style>
  <w:style w:type="paragraph" w:styleId="91">
    <w:name w:val="List Paragraph"/>
    <w:basedOn w:val="1"/>
    <w:qFormat/>
    <w:uiPriority w:val="34"/>
    <w:pPr>
      <w:ind w:firstLine="420" w:firstLineChars="200"/>
    </w:pPr>
    <w:rPr>
      <w:rFonts w:ascii="Calibri" w:hAnsi="Calibri" w:eastAsia="宋体"/>
      <w:sz w:val="21"/>
      <w:szCs w:val="22"/>
    </w:rPr>
  </w:style>
  <w:style w:type="paragraph" w:customStyle="1" w:styleId="92">
    <w:name w:val="pa-1"/>
    <w:basedOn w:val="1"/>
    <w:qFormat/>
    <w:uiPriority w:val="0"/>
    <w:pPr>
      <w:widowControl/>
      <w:spacing w:line="340" w:lineRule="atLeast"/>
    </w:pPr>
    <w:rPr>
      <w:rFonts w:ascii="宋体" w:hAnsi="宋体" w:eastAsia="宋体" w:cs="宋体"/>
      <w:kern w:val="0"/>
      <w:sz w:val="24"/>
      <w:szCs w:val="24"/>
    </w:rPr>
  </w:style>
  <w:style w:type="paragraph" w:customStyle="1" w:styleId="93">
    <w:name w:val="Table Paragraph"/>
    <w:basedOn w:val="1"/>
    <w:qFormat/>
    <w:uiPriority w:val="1"/>
    <w:pPr>
      <w:autoSpaceDE w:val="0"/>
      <w:autoSpaceDN w:val="0"/>
      <w:adjustRightInd w:val="0"/>
      <w:jc w:val="left"/>
    </w:pPr>
    <w:rPr>
      <w:rFonts w:ascii="Calibri" w:hAnsi="Calibri" w:eastAsia="宋体"/>
      <w:kern w:val="0"/>
      <w:sz w:val="24"/>
      <w:szCs w:val="24"/>
    </w:rPr>
  </w:style>
  <w:style w:type="paragraph" w:customStyle="1" w:styleId="94">
    <w:name w:val="题注4"/>
    <w:basedOn w:val="1"/>
    <w:next w:val="14"/>
    <w:qFormat/>
    <w:uiPriority w:val="0"/>
    <w:pPr>
      <w:spacing w:line="480" w:lineRule="exact"/>
      <w:ind w:firstLine="410" w:firstLineChars="171"/>
    </w:pPr>
    <w:rPr>
      <w:rFonts w:ascii="宋体" w:hAnsi="宋体" w:eastAsia="宋体"/>
      <w:sz w:val="24"/>
      <w:szCs w:val="24"/>
    </w:rPr>
  </w:style>
  <w:style w:type="paragraph" w:customStyle="1" w:styleId="95">
    <w:name w:val="pa-5"/>
    <w:basedOn w:val="1"/>
    <w:qFormat/>
    <w:uiPriority w:val="0"/>
    <w:pPr>
      <w:widowControl/>
      <w:spacing w:line="280" w:lineRule="atLeast"/>
    </w:pPr>
    <w:rPr>
      <w:rFonts w:ascii="宋体" w:hAnsi="宋体" w:eastAsia="宋体" w:cs="宋体"/>
      <w:kern w:val="0"/>
      <w:sz w:val="24"/>
      <w:szCs w:val="24"/>
    </w:rPr>
  </w:style>
  <w:style w:type="paragraph" w:customStyle="1" w:styleId="96">
    <w:name w:val="样式 正文缩进 + 首行缩进:  2 字符"/>
    <w:basedOn w:val="5"/>
    <w:qFormat/>
    <w:uiPriority w:val="0"/>
    <w:pPr>
      <w:autoSpaceDE/>
      <w:autoSpaceDN/>
      <w:adjustRightInd/>
      <w:spacing w:line="360" w:lineRule="auto"/>
      <w:ind w:firstLine="480" w:firstLineChars="200"/>
      <w:jc w:val="both"/>
      <w:textAlignment w:val="auto"/>
    </w:pPr>
    <w:rPr>
      <w:rFonts w:ascii="Times New Roman"/>
      <w:kern w:val="2"/>
      <w:sz w:val="24"/>
    </w:rPr>
  </w:style>
  <w:style w:type="paragraph" w:customStyle="1" w:styleId="97">
    <w:name w:val="修订1"/>
    <w:qFormat/>
    <w:uiPriority w:val="0"/>
    <w:rPr>
      <w:rFonts w:ascii="Times New Roman" w:hAnsi="Times New Roman" w:eastAsia="仿宋_GB2312" w:cs="Times New Roman"/>
      <w:kern w:val="2"/>
      <w:sz w:val="30"/>
      <w:lang w:val="en-US" w:eastAsia="zh-CN" w:bidi="ar-SA"/>
    </w:rPr>
  </w:style>
  <w:style w:type="paragraph" w:customStyle="1" w:styleId="98">
    <w:name w:val="Char Char1 Char Char Char Char Char Char Char Char Char Char"/>
    <w:basedOn w:val="1"/>
    <w:qFormat/>
    <w:uiPriority w:val="0"/>
    <w:rPr>
      <w:rFonts w:ascii="Tahoma" w:hAnsi="Tahoma"/>
      <w:sz w:val="24"/>
    </w:rPr>
  </w:style>
  <w:style w:type="paragraph" w:customStyle="1" w:styleId="99">
    <w:name w:val="列表段落1"/>
    <w:basedOn w:val="1"/>
    <w:qFormat/>
    <w:uiPriority w:val="99"/>
    <w:pPr>
      <w:widowControl/>
      <w:ind w:firstLine="420" w:firstLineChars="200"/>
      <w:jc w:val="left"/>
    </w:pPr>
    <w:rPr>
      <w:rFonts w:eastAsia="宋体"/>
      <w:kern w:val="0"/>
      <w:sz w:val="20"/>
    </w:rPr>
  </w:style>
  <w:style w:type="paragraph" w:customStyle="1" w:styleId="100">
    <w:name w:val="标题 21"/>
    <w:next w:val="1"/>
    <w:qFormat/>
    <w:uiPriority w:val="0"/>
    <w:pPr>
      <w:keepNext/>
      <w:keepLines/>
      <w:framePr w:wrap="around" w:vAnchor="margin" w:hAnchor="text" w:y="1"/>
      <w:widowControl w:val="0"/>
      <w:spacing w:before="260" w:after="260" w:line="413" w:lineRule="auto"/>
      <w:outlineLvl w:val="1"/>
    </w:pPr>
    <w:rPr>
      <w:rFonts w:ascii="Arial" w:hAnsi="Arial" w:eastAsia="Arial" w:cs="Arial"/>
      <w:b/>
      <w:bCs/>
      <w:color w:val="000000"/>
      <w:sz w:val="32"/>
      <w:szCs w:val="32"/>
      <w:lang w:val="en-US" w:eastAsia="zh-CN" w:bidi="ar-SA"/>
    </w:rPr>
  </w:style>
  <w:style w:type="paragraph" w:customStyle="1" w:styleId="101">
    <w:name w:val="标题2"/>
    <w:basedOn w:val="4"/>
    <w:qFormat/>
    <w:uiPriority w:val="0"/>
    <w:pPr>
      <w:tabs>
        <w:tab w:val="left" w:pos="567"/>
      </w:tabs>
      <w:autoSpaceDE/>
      <w:autoSpaceDN/>
      <w:adjustRightInd/>
      <w:spacing w:before="240" w:after="120" w:line="415" w:lineRule="auto"/>
      <w:jc w:val="both"/>
      <w:textAlignment w:val="auto"/>
      <w:outlineLvl w:val="2"/>
    </w:pPr>
    <w:rPr>
      <w:rFonts w:ascii="黑体" w:hAnsi="宋体"/>
      <w:bCs/>
      <w:spacing w:val="6"/>
      <w:kern w:val="28"/>
      <w:sz w:val="28"/>
      <w:szCs w:val="28"/>
    </w:rPr>
  </w:style>
  <w:style w:type="paragraph" w:customStyle="1" w:styleId="102">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
    <w:name w:val="正文 A"/>
    <w:qFormat/>
    <w:uiPriority w:val="0"/>
    <w:pPr>
      <w:framePr w:wrap="around" w:vAnchor="margin" w:hAnchor="text" w:y="1"/>
      <w:widowControl w:val="0"/>
      <w:jc w:val="both"/>
    </w:pPr>
    <w:rPr>
      <w:rFonts w:ascii="Times New Roman" w:hAnsi="Times New Roman" w:eastAsia="Calibri" w:cs="Calibri"/>
      <w:color w:val="000000"/>
      <w:kern w:val="2"/>
      <w:sz w:val="30"/>
      <w:szCs w:val="30"/>
      <w:lang w:val="en-US" w:eastAsia="zh-CN" w:bidi="ar-SA"/>
    </w:rPr>
  </w:style>
  <w:style w:type="paragraph" w:styleId="10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
    <w:name w:val="Char"/>
    <w:basedOn w:val="1"/>
    <w:qFormat/>
    <w:uiPriority w:val="0"/>
    <w:rPr>
      <w:rFonts w:ascii="Tahoma" w:hAnsi="Tahoma" w:eastAsia="宋体"/>
      <w:sz w:val="24"/>
    </w:rPr>
  </w:style>
  <w:style w:type="paragraph" w:customStyle="1" w:styleId="106">
    <w:name w:val="图片"/>
    <w:basedOn w:val="1"/>
    <w:qFormat/>
    <w:uiPriority w:val="0"/>
    <w:pPr>
      <w:widowControl/>
      <w:jc w:val="center"/>
    </w:pPr>
    <w:rPr>
      <w:rFonts w:ascii="Arial" w:hAnsi="Arial" w:eastAsia="宋体"/>
      <w:kern w:val="0"/>
      <w:sz w:val="24"/>
    </w:rPr>
  </w:style>
  <w:style w:type="paragraph" w:customStyle="1" w:styleId="10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table" w:customStyle="1" w:styleId="108">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09">
    <w:name w:val="Table Normal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0">
    <w:name w:val="Table Normal2"/>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1">
    <w:name w:val="Table Normal3"/>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2">
    <w:name w:val="Table Normal4"/>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3">
    <w:name w:val="Table Normal5"/>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4">
    <w:name w:val="Table Normal6"/>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5">
    <w:name w:val="Table Normal7"/>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6">
    <w:name w:val="Table Normal8"/>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7">
    <w:name w:val="Table Normal9"/>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8">
    <w:name w:val="Table Normal10"/>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9">
    <w:name w:val="Table Normal1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120">
    <w:name w:val="纯文本 字符1"/>
    <w:basedOn w:val="44"/>
    <w:qFormat/>
    <w:uiPriority w:val="0"/>
    <w:rPr>
      <w:rFonts w:hAnsi="Courier New" w:cs="Courier New" w:asciiTheme="minorEastAsia" w:eastAsiaTheme="minorEastAsia"/>
      <w:kern w:val="2"/>
      <w:sz w:val="30"/>
    </w:rPr>
  </w:style>
  <w:style w:type="character" w:customStyle="1" w:styleId="121">
    <w:name w:val="页脚 字符1"/>
    <w:basedOn w:val="44"/>
    <w:semiHidden/>
    <w:qFormat/>
    <w:uiPriority w:val="99"/>
    <w:rPr>
      <w:rFonts w:eastAsia="仿宋_GB2312"/>
      <w:kern w:val="2"/>
      <w:sz w:val="18"/>
      <w:szCs w:val="18"/>
    </w:rPr>
  </w:style>
  <w:style w:type="character" w:customStyle="1" w:styleId="122">
    <w:name w:val="标题 字符1"/>
    <w:basedOn w:val="44"/>
    <w:qFormat/>
    <w:uiPriority w:val="10"/>
    <w:rPr>
      <w:rFonts w:asciiTheme="majorHAnsi" w:hAnsiTheme="majorHAnsi" w:eastAsiaTheme="majorEastAsia" w:cstheme="majorBidi"/>
      <w:b/>
      <w:bCs/>
      <w:kern w:val="2"/>
      <w:sz w:val="32"/>
      <w:szCs w:val="32"/>
    </w:rPr>
  </w:style>
  <w:style w:type="character" w:customStyle="1" w:styleId="123">
    <w:name w:val="正文文本缩进 2 字符1"/>
    <w:basedOn w:val="44"/>
    <w:qFormat/>
    <w:uiPriority w:val="0"/>
    <w:rPr>
      <w:rFonts w:eastAsia="仿宋_GB2312"/>
      <w:kern w:val="2"/>
      <w:sz w:val="30"/>
    </w:rPr>
  </w:style>
  <w:style w:type="character" w:customStyle="1" w:styleId="124">
    <w:name w:val="正文文本缩进 3 字符1"/>
    <w:basedOn w:val="44"/>
    <w:qFormat/>
    <w:uiPriority w:val="0"/>
    <w:rPr>
      <w:rFonts w:eastAsia="仿宋_GB2312"/>
      <w:kern w:val="2"/>
      <w:sz w:val="16"/>
      <w:szCs w:val="16"/>
    </w:rPr>
  </w:style>
  <w:style w:type="character" w:customStyle="1" w:styleId="125">
    <w:name w:val="批注文字 字符1"/>
    <w:basedOn w:val="44"/>
    <w:semiHidden/>
    <w:qFormat/>
    <w:uiPriority w:val="0"/>
    <w:rPr>
      <w:rFonts w:eastAsia="仿宋_GB2312"/>
      <w:kern w:val="2"/>
      <w:sz w:val="30"/>
    </w:rPr>
  </w:style>
  <w:style w:type="character" w:customStyle="1" w:styleId="126">
    <w:name w:val="正文文本 2 字符1"/>
    <w:basedOn w:val="44"/>
    <w:qFormat/>
    <w:uiPriority w:val="0"/>
    <w:rPr>
      <w:rFonts w:eastAsia="仿宋_GB2312"/>
      <w:kern w:val="2"/>
      <w:sz w:val="30"/>
    </w:rPr>
  </w:style>
  <w:style w:type="character" w:customStyle="1" w:styleId="127">
    <w:name w:val="正文文本缩进 字符1"/>
    <w:basedOn w:val="44"/>
    <w:qFormat/>
    <w:uiPriority w:val="0"/>
    <w:rPr>
      <w:rFonts w:eastAsia="仿宋_GB2312"/>
      <w:kern w:val="2"/>
      <w:sz w:val="30"/>
    </w:rPr>
  </w:style>
  <w:style w:type="character" w:customStyle="1" w:styleId="128">
    <w:name w:val="日期 字符1"/>
    <w:basedOn w:val="44"/>
    <w:semiHidden/>
    <w:qFormat/>
    <w:uiPriority w:val="99"/>
    <w:rPr>
      <w:rFonts w:eastAsia="仿宋_GB2312"/>
      <w:kern w:val="2"/>
      <w:sz w:val="30"/>
    </w:rPr>
  </w:style>
  <w:style w:type="character" w:customStyle="1" w:styleId="129">
    <w:name w:val="批注主题 字符1"/>
    <w:basedOn w:val="125"/>
    <w:semiHidden/>
    <w:qFormat/>
    <w:uiPriority w:val="99"/>
    <w:rPr>
      <w:rFonts w:eastAsia="仿宋_GB2312"/>
      <w:b/>
      <w:bCs/>
      <w:kern w:val="2"/>
      <w:sz w:val="30"/>
    </w:rPr>
  </w:style>
  <w:style w:type="character" w:customStyle="1" w:styleId="130">
    <w:name w:val="正文文本 3 字符1"/>
    <w:basedOn w:val="44"/>
    <w:qFormat/>
    <w:uiPriority w:val="0"/>
    <w:rPr>
      <w:rFonts w:eastAsia="仿宋_GB2312"/>
      <w:kern w:val="2"/>
      <w:sz w:val="16"/>
      <w:szCs w:val="16"/>
    </w:rPr>
  </w:style>
  <w:style w:type="character" w:customStyle="1" w:styleId="131">
    <w:name w:val="文档结构图 字符1"/>
    <w:basedOn w:val="44"/>
    <w:semiHidden/>
    <w:qFormat/>
    <w:uiPriority w:val="99"/>
    <w:rPr>
      <w:rFonts w:ascii="Microsoft YaHei UI" w:eastAsia="Microsoft YaHei UI"/>
      <w:kern w:val="2"/>
      <w:sz w:val="18"/>
      <w:szCs w:val="18"/>
    </w:rPr>
  </w:style>
  <w:style w:type="character" w:customStyle="1" w:styleId="132">
    <w:name w:val="脚注文本 字符1"/>
    <w:basedOn w:val="44"/>
    <w:qFormat/>
    <w:uiPriority w:val="0"/>
    <w:rPr>
      <w:rFonts w:eastAsia="仿宋_GB2312"/>
      <w:kern w:val="2"/>
      <w:sz w:val="18"/>
      <w:szCs w:val="18"/>
    </w:rPr>
  </w:style>
  <w:style w:type="character" w:customStyle="1" w:styleId="133">
    <w:name w:val="批注框文本 字符1"/>
    <w:basedOn w:val="44"/>
    <w:semiHidden/>
    <w:qFormat/>
    <w:uiPriority w:val="99"/>
    <w:rPr>
      <w:rFonts w:eastAsia="仿宋_GB2312"/>
      <w:kern w:val="2"/>
      <w:sz w:val="18"/>
      <w:szCs w:val="18"/>
    </w:rPr>
  </w:style>
  <w:style w:type="character" w:customStyle="1" w:styleId="134">
    <w:name w:val="正文文本 字符1"/>
    <w:basedOn w:val="44"/>
    <w:semiHidden/>
    <w:qFormat/>
    <w:uiPriority w:val="99"/>
    <w:rPr>
      <w:rFonts w:eastAsia="仿宋_GB2312"/>
      <w:kern w:val="2"/>
      <w:sz w:val="30"/>
    </w:rPr>
  </w:style>
  <w:style w:type="character" w:customStyle="1" w:styleId="135">
    <w:name w:val="页眉 字符1"/>
    <w:basedOn w:val="44"/>
    <w:semiHidden/>
    <w:qFormat/>
    <w:uiPriority w:val="99"/>
    <w:rPr>
      <w:rFonts w:eastAsia="仿宋_GB2312"/>
      <w:kern w:val="2"/>
      <w:sz w:val="18"/>
      <w:szCs w:val="18"/>
    </w:rPr>
  </w:style>
  <w:style w:type="character" w:customStyle="1" w:styleId="136">
    <w:name w:val="正文文本 Char1"/>
    <w:qFormat/>
    <w:uiPriority w:val="0"/>
    <w:rPr>
      <w:kern w:val="2"/>
      <w:sz w:val="21"/>
      <w:szCs w:val="22"/>
    </w:rPr>
  </w:style>
  <w:style w:type="character" w:customStyle="1" w:styleId="137">
    <w:name w:val="明显引用 字符"/>
    <w:link w:val="138"/>
    <w:qFormat/>
    <w:uiPriority w:val="0"/>
    <w:rPr>
      <w:b/>
      <w:bCs/>
      <w:i/>
      <w:iCs/>
      <w:color w:val="4F81BD"/>
      <w:kern w:val="2"/>
      <w:sz w:val="21"/>
      <w:szCs w:val="22"/>
    </w:rPr>
  </w:style>
  <w:style w:type="paragraph" w:styleId="138">
    <w:name w:val="Intense Quote"/>
    <w:basedOn w:val="1"/>
    <w:next w:val="1"/>
    <w:link w:val="137"/>
    <w:qFormat/>
    <w:uiPriority w:val="0"/>
    <w:pPr>
      <w:pBdr>
        <w:bottom w:val="single" w:color="4F81BD" w:sz="4" w:space="4"/>
      </w:pBdr>
      <w:spacing w:before="200" w:after="280"/>
      <w:ind w:left="936" w:right="936"/>
    </w:pPr>
    <w:rPr>
      <w:rFonts w:eastAsia="宋体"/>
      <w:b/>
      <w:bCs/>
      <w:i/>
      <w:iCs/>
      <w:color w:val="4F81BD"/>
      <w:sz w:val="21"/>
      <w:szCs w:val="22"/>
    </w:rPr>
  </w:style>
  <w:style w:type="character" w:customStyle="1" w:styleId="139">
    <w:name w:val="不明显强调1"/>
    <w:qFormat/>
    <w:uiPriority w:val="0"/>
    <w:rPr>
      <w:i/>
      <w:iCs/>
      <w:color w:val="808080"/>
    </w:rPr>
  </w:style>
  <w:style w:type="character" w:customStyle="1" w:styleId="140">
    <w:name w:val="标题4 Char Char"/>
    <w:link w:val="141"/>
    <w:qFormat/>
    <w:uiPriority w:val="0"/>
    <w:rPr>
      <w:rFonts w:ascii="Arial" w:hAnsi="Arial"/>
      <w:b/>
      <w:bCs/>
      <w:sz w:val="24"/>
      <w:szCs w:val="32"/>
    </w:rPr>
  </w:style>
  <w:style w:type="paragraph" w:customStyle="1" w:styleId="141">
    <w:name w:val="标题4"/>
    <w:basedOn w:val="4"/>
    <w:next w:val="20"/>
    <w:link w:val="140"/>
    <w:qFormat/>
    <w:uiPriority w:val="0"/>
    <w:pPr>
      <w:autoSpaceDE/>
      <w:autoSpaceDN/>
      <w:adjustRightInd/>
      <w:spacing w:line="413" w:lineRule="auto"/>
      <w:jc w:val="both"/>
      <w:textAlignment w:val="auto"/>
    </w:pPr>
    <w:rPr>
      <w:rFonts w:eastAsia="宋体"/>
      <w:bCs/>
      <w:sz w:val="24"/>
      <w:szCs w:val="32"/>
    </w:rPr>
  </w:style>
  <w:style w:type="character" w:customStyle="1" w:styleId="142">
    <w:name w:val="标题5 Char Char"/>
    <w:link w:val="143"/>
    <w:qFormat/>
    <w:uiPriority w:val="0"/>
    <w:rPr>
      <w:rFonts w:ascii="Arial" w:hAnsi="Arial"/>
      <w:b/>
      <w:bCs/>
      <w:sz w:val="24"/>
      <w:szCs w:val="32"/>
    </w:rPr>
  </w:style>
  <w:style w:type="paragraph" w:customStyle="1" w:styleId="143">
    <w:name w:val="标题5"/>
    <w:basedOn w:val="6"/>
    <w:link w:val="142"/>
    <w:qFormat/>
    <w:uiPriority w:val="0"/>
    <w:pPr>
      <w:autoSpaceDE/>
      <w:autoSpaceDN/>
      <w:adjustRightInd/>
      <w:spacing w:line="413" w:lineRule="auto"/>
      <w:jc w:val="both"/>
      <w:textAlignment w:val="auto"/>
    </w:pPr>
    <w:rPr>
      <w:rFonts w:ascii="Arial" w:hAnsi="Arial"/>
      <w:bCs/>
      <w:sz w:val="24"/>
      <w:szCs w:val="32"/>
    </w:rPr>
  </w:style>
  <w:style w:type="character" w:customStyle="1" w:styleId="144">
    <w:name w:val="明显参考1"/>
    <w:qFormat/>
    <w:uiPriority w:val="0"/>
    <w:rPr>
      <w:b/>
      <w:bCs/>
      <w:smallCaps/>
      <w:color w:val="C0504D"/>
      <w:spacing w:val="5"/>
      <w:u w:val="single"/>
    </w:rPr>
  </w:style>
  <w:style w:type="character" w:customStyle="1" w:styleId="145">
    <w:name w:val="书籍标题1"/>
    <w:qFormat/>
    <w:uiPriority w:val="0"/>
    <w:rPr>
      <w:b/>
      <w:bCs/>
      <w:smallCaps/>
      <w:spacing w:val="5"/>
    </w:rPr>
  </w:style>
  <w:style w:type="character" w:customStyle="1" w:styleId="146">
    <w:name w:val="批注框文本 Char1"/>
    <w:qFormat/>
    <w:uiPriority w:val="0"/>
    <w:rPr>
      <w:kern w:val="2"/>
      <w:sz w:val="18"/>
      <w:szCs w:val="18"/>
    </w:rPr>
  </w:style>
  <w:style w:type="character" w:customStyle="1" w:styleId="147">
    <w:name w:val="引用 字符"/>
    <w:link w:val="148"/>
    <w:qFormat/>
    <w:uiPriority w:val="0"/>
    <w:rPr>
      <w:i/>
      <w:iCs/>
      <w:color w:val="000000"/>
      <w:kern w:val="2"/>
      <w:sz w:val="21"/>
      <w:szCs w:val="22"/>
    </w:rPr>
  </w:style>
  <w:style w:type="paragraph" w:styleId="148">
    <w:name w:val="Quote"/>
    <w:basedOn w:val="1"/>
    <w:next w:val="1"/>
    <w:link w:val="147"/>
    <w:qFormat/>
    <w:uiPriority w:val="0"/>
    <w:rPr>
      <w:rFonts w:eastAsia="宋体"/>
      <w:i/>
      <w:iCs/>
      <w:color w:val="000000"/>
      <w:sz w:val="21"/>
      <w:szCs w:val="22"/>
    </w:rPr>
  </w:style>
  <w:style w:type="character" w:customStyle="1" w:styleId="149">
    <w:name w:val="批注主题 Char1"/>
    <w:qFormat/>
    <w:uiPriority w:val="0"/>
    <w:rPr>
      <w:b/>
      <w:bCs/>
      <w:kern w:val="2"/>
      <w:sz w:val="21"/>
      <w:szCs w:val="22"/>
    </w:rPr>
  </w:style>
  <w:style w:type="character" w:customStyle="1" w:styleId="150">
    <w:name w:val="日期 Char1"/>
    <w:qFormat/>
    <w:uiPriority w:val="0"/>
    <w:rPr>
      <w:kern w:val="2"/>
      <w:sz w:val="21"/>
      <w:szCs w:val="22"/>
    </w:rPr>
  </w:style>
  <w:style w:type="character" w:customStyle="1" w:styleId="151">
    <w:name w:val="明显强调1"/>
    <w:qFormat/>
    <w:uiPriority w:val="0"/>
    <w:rPr>
      <w:b/>
      <w:bCs/>
      <w:i/>
      <w:iCs/>
      <w:color w:val="4F81BD"/>
    </w:rPr>
  </w:style>
  <w:style w:type="character" w:customStyle="1" w:styleId="152">
    <w:name w:val="textcontents"/>
    <w:qFormat/>
    <w:uiPriority w:val="0"/>
    <w:rPr>
      <w:rFonts w:cs="Times New Roman"/>
    </w:rPr>
  </w:style>
  <w:style w:type="character" w:customStyle="1" w:styleId="153">
    <w:name w:val="不明显参考1"/>
    <w:qFormat/>
    <w:uiPriority w:val="0"/>
    <w:rPr>
      <w:smallCaps/>
      <w:color w:val="C0504D"/>
      <w:u w:val="single"/>
    </w:rPr>
  </w:style>
  <w:style w:type="character" w:customStyle="1" w:styleId="154">
    <w:name w:val="批注文字 Char Char"/>
    <w:qFormat/>
    <w:uiPriority w:val="0"/>
    <w:rPr>
      <w:rFonts w:ascii="宋体" w:hAnsi="Times New Roman" w:eastAsia="宋体" w:cs="Times New Roman"/>
      <w:sz w:val="28"/>
      <w:szCs w:val="20"/>
    </w:rPr>
  </w:style>
  <w:style w:type="character" w:customStyle="1" w:styleId="155">
    <w:name w:val="副标题 字符"/>
    <w:link w:val="32"/>
    <w:qFormat/>
    <w:uiPriority w:val="0"/>
    <w:rPr>
      <w:rFonts w:ascii="Cambria" w:hAnsi="Cambria"/>
      <w:b/>
      <w:bCs/>
      <w:kern w:val="28"/>
      <w:sz w:val="32"/>
      <w:szCs w:val="32"/>
    </w:rPr>
  </w:style>
  <w:style w:type="character" w:customStyle="1" w:styleId="156">
    <w:name w:val="文档结构图 Char1"/>
    <w:qFormat/>
    <w:uiPriority w:val="0"/>
    <w:rPr>
      <w:rFonts w:ascii="宋体"/>
      <w:kern w:val="2"/>
      <w:sz w:val="18"/>
      <w:szCs w:val="18"/>
    </w:rPr>
  </w:style>
  <w:style w:type="paragraph" w:customStyle="1" w:styleId="157">
    <w:name w:val="样式 标题 2 + Times New Roman 四号 非加粗 段前: 5 磅 段后: 0 磅 行距: 固定值 20..."/>
    <w:basedOn w:val="4"/>
    <w:qFormat/>
    <w:uiPriority w:val="0"/>
    <w:pPr>
      <w:autoSpaceDE/>
      <w:autoSpaceDN/>
      <w:adjustRightInd/>
      <w:spacing w:before="100" w:after="0" w:line="400" w:lineRule="exact"/>
      <w:jc w:val="both"/>
      <w:textAlignment w:val="auto"/>
    </w:pPr>
    <w:rPr>
      <w:rFonts w:ascii="Times New Roman" w:hAnsi="Times New Roman" w:cs="宋体"/>
      <w:b w:val="0"/>
      <w:sz w:val="28"/>
    </w:rPr>
  </w:style>
  <w:style w:type="paragraph" w:customStyle="1" w:styleId="158">
    <w:name w:val="TOC 标题1"/>
    <w:basedOn w:val="3"/>
    <w:next w:val="1"/>
    <w:qFormat/>
    <w:uiPriority w:val="0"/>
    <w:pPr>
      <w:autoSpaceDE/>
      <w:autoSpaceDN/>
      <w:adjustRightInd/>
      <w:spacing w:line="576" w:lineRule="auto"/>
      <w:jc w:val="both"/>
      <w:textAlignment w:val="auto"/>
      <w:outlineLvl w:val="9"/>
    </w:pPr>
    <w:rPr>
      <w:rFonts w:ascii="Calibri" w:hAnsi="Calibri"/>
      <w:bCs/>
      <w:szCs w:val="44"/>
    </w:rPr>
  </w:style>
  <w:style w:type="character" w:customStyle="1" w:styleId="159">
    <w:name w:val="副标题 字符1"/>
    <w:basedOn w:val="44"/>
    <w:qFormat/>
    <w:uiPriority w:val="11"/>
    <w:rPr>
      <w:rFonts w:asciiTheme="minorHAnsi" w:hAnsiTheme="minorHAnsi" w:eastAsiaTheme="minorEastAsia" w:cstheme="minorBidi"/>
      <w:b/>
      <w:bCs/>
      <w:kern w:val="28"/>
      <w:sz w:val="32"/>
      <w:szCs w:val="32"/>
    </w:rPr>
  </w:style>
  <w:style w:type="character" w:customStyle="1" w:styleId="160">
    <w:name w:val="副标题 Char1"/>
    <w:basedOn w:val="44"/>
    <w:qFormat/>
    <w:uiPriority w:val="11"/>
    <w:rPr>
      <w:rFonts w:asciiTheme="majorHAnsi" w:hAnsiTheme="majorHAnsi" w:cstheme="majorBidi"/>
      <w:b/>
      <w:bCs/>
      <w:kern w:val="28"/>
      <w:sz w:val="32"/>
      <w:szCs w:val="32"/>
    </w:rPr>
  </w:style>
  <w:style w:type="character" w:customStyle="1" w:styleId="161">
    <w:name w:val="明显引用 字符1"/>
    <w:basedOn w:val="44"/>
    <w:qFormat/>
    <w:uiPriority w:val="30"/>
    <w:rPr>
      <w:rFonts w:eastAsia="仿宋_GB2312"/>
      <w:i/>
      <w:iCs/>
      <w:color w:val="5B9BD5" w:themeColor="accent1"/>
      <w:kern w:val="2"/>
      <w:sz w:val="30"/>
      <w14:textFill>
        <w14:solidFill>
          <w14:schemeClr w14:val="accent1"/>
        </w14:solidFill>
      </w14:textFill>
    </w:rPr>
  </w:style>
  <w:style w:type="character" w:customStyle="1" w:styleId="162">
    <w:name w:val="明显引用 Char1"/>
    <w:basedOn w:val="44"/>
    <w:qFormat/>
    <w:uiPriority w:val="30"/>
    <w:rPr>
      <w:rFonts w:eastAsia="仿宋_GB2312"/>
      <w:b/>
      <w:bCs/>
      <w:i/>
      <w:iCs/>
      <w:color w:val="5B9BD5" w:themeColor="accent1"/>
      <w:kern w:val="2"/>
      <w:sz w:val="30"/>
      <w14:textFill>
        <w14:solidFill>
          <w14:schemeClr w14:val="accent1"/>
        </w14:solidFill>
      </w14:textFill>
    </w:rPr>
  </w:style>
  <w:style w:type="paragraph" w:customStyle="1" w:styleId="163">
    <w:name w:val="样式 标题 3 + (中文) 黑体 小四 非加粗 段前: 7.8 磅 段后: 0 磅 行距: 固定值 20 磅"/>
    <w:basedOn w:val="6"/>
    <w:qFormat/>
    <w:uiPriority w:val="0"/>
    <w:pPr>
      <w:autoSpaceDE/>
      <w:autoSpaceDN/>
      <w:adjustRightInd/>
      <w:spacing w:before="0" w:after="0" w:line="400" w:lineRule="exact"/>
      <w:jc w:val="both"/>
      <w:textAlignment w:val="auto"/>
    </w:pPr>
    <w:rPr>
      <w:rFonts w:ascii="Times New Roman" w:eastAsia="黑体" w:cs="宋体"/>
      <w:b w:val="0"/>
      <w:kern w:val="2"/>
      <w:sz w:val="24"/>
    </w:rPr>
  </w:style>
  <w:style w:type="paragraph" w:customStyle="1" w:styleId="164">
    <w:name w:val="空半行"/>
    <w:basedOn w:val="1"/>
    <w:qFormat/>
    <w:uiPriority w:val="0"/>
    <w:pPr>
      <w:adjustRightInd w:val="0"/>
      <w:spacing w:line="120" w:lineRule="exact"/>
      <w:textAlignment w:val="baseline"/>
    </w:pPr>
    <w:rPr>
      <w:color w:val="FFFFFF"/>
      <w:kern w:val="0"/>
    </w:rPr>
  </w:style>
  <w:style w:type="character" w:customStyle="1" w:styleId="165">
    <w:name w:val="引用 字符1"/>
    <w:basedOn w:val="44"/>
    <w:qFormat/>
    <w:uiPriority w:val="29"/>
    <w:rPr>
      <w:rFonts w:eastAsia="仿宋_GB2312"/>
      <w:i/>
      <w:iCs/>
      <w:color w:val="404040" w:themeColor="text1" w:themeTint="BF"/>
      <w:kern w:val="2"/>
      <w:sz w:val="30"/>
      <w14:textFill>
        <w14:solidFill>
          <w14:schemeClr w14:val="tx1">
            <w14:lumMod w14:val="75000"/>
            <w14:lumOff w14:val="25000"/>
          </w14:schemeClr>
        </w14:solidFill>
      </w14:textFill>
    </w:rPr>
  </w:style>
  <w:style w:type="character" w:customStyle="1" w:styleId="166">
    <w:name w:val="引用 Char1"/>
    <w:basedOn w:val="44"/>
    <w:qFormat/>
    <w:uiPriority w:val="29"/>
    <w:rPr>
      <w:rFonts w:eastAsia="仿宋_GB2312"/>
      <w:i/>
      <w:iCs/>
      <w:color w:val="000000" w:themeColor="text1"/>
      <w:kern w:val="2"/>
      <w:sz w:val="30"/>
      <w14:textFill>
        <w14:solidFill>
          <w14:schemeClr w14:val="tx1"/>
        </w14:solidFill>
      </w14:textFill>
    </w:rPr>
  </w:style>
  <w:style w:type="paragraph" w:customStyle="1" w:styleId="167">
    <w:name w:val="flNote"/>
    <w:basedOn w:val="1"/>
    <w:qFormat/>
    <w:uiPriority w:val="0"/>
    <w:pPr>
      <w:adjustRightInd w:val="0"/>
      <w:spacing w:before="320" w:after="160" w:line="360" w:lineRule="atLeast"/>
      <w:jc w:val="center"/>
      <w:textAlignment w:val="baseline"/>
    </w:pPr>
    <w:rPr>
      <w:rFonts w:ascii="Arial" w:eastAsia="黑体"/>
      <w:kern w:val="0"/>
    </w:rPr>
  </w:style>
  <w:style w:type="character" w:customStyle="1" w:styleId="168">
    <w:name w:val="标题 Char1"/>
    <w:basedOn w:val="44"/>
    <w:qFormat/>
    <w:uiPriority w:val="10"/>
    <w:rPr>
      <w:rFonts w:asciiTheme="majorHAnsi" w:hAnsiTheme="majorHAnsi" w:cstheme="majorBidi"/>
      <w:b/>
      <w:bCs/>
      <w:kern w:val="2"/>
      <w:sz w:val="32"/>
      <w:szCs w:val="32"/>
    </w:rPr>
  </w:style>
  <w:style w:type="character" w:customStyle="1" w:styleId="169">
    <w:name w:val="未处理的提及1"/>
    <w:basedOn w:val="44"/>
    <w:semiHidden/>
    <w:unhideWhenUsed/>
    <w:qFormat/>
    <w:uiPriority w:val="99"/>
    <w:rPr>
      <w:color w:val="605E5C"/>
      <w:shd w:val="clear" w:color="auto" w:fill="E1DFDD"/>
    </w:rPr>
  </w:style>
  <w:style w:type="paragraph" w:customStyle="1" w:styleId="170">
    <w:name w:val="修订11"/>
    <w:qFormat/>
    <w:uiPriority w:val="0"/>
    <w:rPr>
      <w:rFonts w:ascii="Times New Roman" w:hAnsi="Times New Roman" w:eastAsia="仿宋_GB2312" w:cs="Times New Roman"/>
      <w:kern w:val="2"/>
      <w:sz w:val="30"/>
      <w:lang w:val="en-US" w:eastAsia="zh-CN" w:bidi="ar-SA"/>
    </w:rPr>
  </w:style>
  <w:style w:type="character" w:customStyle="1" w:styleId="171">
    <w:name w:val="不明显强调11"/>
    <w:qFormat/>
    <w:uiPriority w:val="0"/>
    <w:rPr>
      <w:i/>
      <w:iCs/>
      <w:color w:val="808080"/>
    </w:rPr>
  </w:style>
  <w:style w:type="character" w:customStyle="1" w:styleId="172">
    <w:name w:val="明显参考11"/>
    <w:qFormat/>
    <w:uiPriority w:val="0"/>
    <w:rPr>
      <w:b/>
      <w:bCs/>
      <w:smallCaps/>
      <w:color w:val="C0504D"/>
      <w:spacing w:val="5"/>
      <w:u w:val="single"/>
    </w:rPr>
  </w:style>
  <w:style w:type="character" w:customStyle="1" w:styleId="173">
    <w:name w:val="书籍标题11"/>
    <w:qFormat/>
    <w:uiPriority w:val="0"/>
    <w:rPr>
      <w:b/>
      <w:bCs/>
      <w:smallCaps/>
      <w:spacing w:val="5"/>
    </w:rPr>
  </w:style>
  <w:style w:type="character" w:customStyle="1" w:styleId="174">
    <w:name w:val="明显强调11"/>
    <w:qFormat/>
    <w:uiPriority w:val="0"/>
    <w:rPr>
      <w:b/>
      <w:bCs/>
      <w:i/>
      <w:iCs/>
      <w:color w:val="4F81BD"/>
    </w:rPr>
  </w:style>
  <w:style w:type="character" w:customStyle="1" w:styleId="175">
    <w:name w:val="不明显参考11"/>
    <w:qFormat/>
    <w:uiPriority w:val="0"/>
    <w:rPr>
      <w:smallCaps/>
      <w:color w:val="C0504D"/>
      <w:u w:val="single"/>
    </w:rPr>
  </w:style>
  <w:style w:type="paragraph" w:customStyle="1" w:styleId="176">
    <w:name w:val="TOC 标题11"/>
    <w:basedOn w:val="3"/>
    <w:next w:val="1"/>
    <w:qFormat/>
    <w:uiPriority w:val="0"/>
    <w:pPr>
      <w:autoSpaceDE/>
      <w:autoSpaceDN/>
      <w:adjustRightInd/>
      <w:spacing w:line="576" w:lineRule="auto"/>
      <w:jc w:val="both"/>
      <w:textAlignment w:val="auto"/>
      <w:outlineLvl w:val="9"/>
    </w:pPr>
    <w:rPr>
      <w:rFonts w:ascii="Calibri" w:hAnsi="Calibri"/>
      <w:bCs/>
      <w:szCs w:val="44"/>
    </w:rPr>
  </w:style>
  <w:style w:type="character" w:customStyle="1" w:styleId="177">
    <w:name w:val="标题 2 字符1"/>
    <w:qFormat/>
    <w:locked/>
    <w:uiPriority w:val="0"/>
    <w:rPr>
      <w:rFonts w:ascii="Arial" w:hAnsi="Arial" w:eastAsia="黑体" w:cs="Calibri"/>
      <w:b/>
      <w:sz w:val="32"/>
    </w:rPr>
  </w:style>
  <w:style w:type="character" w:customStyle="1" w:styleId="178">
    <w:name w:val="font01"/>
    <w:qFormat/>
    <w:uiPriority w:val="0"/>
    <w:rPr>
      <w:rFonts w:hint="eastAsia" w:ascii="宋体" w:hAnsi="宋体" w:eastAsia="宋体" w:cs="Times New Roman"/>
      <w:color w:val="000000"/>
      <w:sz w:val="22"/>
      <w:szCs w:val="22"/>
      <w:u w:val="none"/>
    </w:rPr>
  </w:style>
  <w:style w:type="character" w:customStyle="1" w:styleId="179">
    <w:name w:val="font51"/>
    <w:basedOn w:val="44"/>
    <w:qFormat/>
    <w:uiPriority w:val="0"/>
    <w:rPr>
      <w:rFonts w:hint="eastAsia" w:ascii="宋体" w:hAnsi="宋体" w:eastAsia="宋体" w:cs="宋体"/>
      <w:color w:val="FF0000"/>
      <w:sz w:val="21"/>
      <w:szCs w:val="21"/>
      <w:u w:val="none"/>
    </w:rPr>
  </w:style>
  <w:style w:type="character" w:customStyle="1" w:styleId="180">
    <w:name w:val="正文文本缩进 3 Char"/>
    <w:qFormat/>
    <w:uiPriority w:val="0"/>
    <w:rPr>
      <w:rFonts w:eastAsia="仿宋_GB2312"/>
      <w:kern w:val="2"/>
      <w:sz w:val="16"/>
      <w:szCs w:val="16"/>
      <w:lang w:val="en-US" w:eastAsia="zh-CN" w:bidi="ar-SA"/>
    </w:rPr>
  </w:style>
  <w:style w:type="character" w:customStyle="1" w:styleId="181">
    <w:name w:val="正文文本缩进 Char"/>
    <w:qFormat/>
    <w:uiPriority w:val="0"/>
    <w:rPr>
      <w:rFonts w:ascii="仿宋_GB2312" w:eastAsia="仿宋_GB2312"/>
      <w:sz w:val="28"/>
      <w:lang w:val="en-US" w:eastAsia="zh-CN" w:bidi="ar-SA"/>
    </w:rPr>
  </w:style>
  <w:style w:type="character" w:customStyle="1" w:styleId="182">
    <w:name w:val="正文文本 Char"/>
    <w:qFormat/>
    <w:uiPriority w:val="0"/>
    <w:rPr>
      <w:rFonts w:ascii="仿宋_GB2312" w:eastAsia="仿宋_GB2312"/>
      <w:kern w:val="2"/>
      <w:sz w:val="28"/>
      <w:lang w:val="en-US" w:eastAsia="zh-CN" w:bidi="ar-SA"/>
    </w:rPr>
  </w:style>
  <w:style w:type="character" w:customStyle="1" w:styleId="183">
    <w:name w:val="页脚 Char"/>
    <w:qFormat/>
    <w:uiPriority w:val="99"/>
    <w:rPr>
      <w:rFonts w:ascii="宋体" w:eastAsia="宋体"/>
      <w:sz w:val="18"/>
      <w:lang w:val="en-US" w:eastAsia="zh-CN" w:bidi="ar-SA"/>
    </w:rPr>
  </w:style>
  <w:style w:type="character" w:customStyle="1" w:styleId="184">
    <w:name w:val="标题 8 Char"/>
    <w:qFormat/>
    <w:uiPriority w:val="0"/>
    <w:rPr>
      <w:rFonts w:ascii="Arial" w:hAnsi="Arial" w:eastAsia="黑体"/>
      <w:color w:val="000000"/>
      <w:kern w:val="2"/>
      <w:sz w:val="24"/>
      <w:szCs w:val="24"/>
    </w:rPr>
  </w:style>
  <w:style w:type="character" w:customStyle="1" w:styleId="185">
    <w:name w:val="批注框文本 Char"/>
    <w:semiHidden/>
    <w:qFormat/>
    <w:uiPriority w:val="0"/>
    <w:rPr>
      <w:rFonts w:eastAsia="仿宋_GB2312"/>
      <w:sz w:val="18"/>
      <w:szCs w:val="18"/>
      <w:lang w:bidi="ar-SA"/>
    </w:rPr>
  </w:style>
  <w:style w:type="character" w:customStyle="1" w:styleId="186">
    <w:name w:val="标题 7 Char"/>
    <w:qFormat/>
    <w:uiPriority w:val="0"/>
    <w:rPr>
      <w:rFonts w:ascii="宋体"/>
      <w:b/>
      <w:color w:val="000000"/>
      <w:kern w:val="2"/>
      <w:sz w:val="24"/>
      <w:szCs w:val="24"/>
    </w:rPr>
  </w:style>
  <w:style w:type="character" w:customStyle="1" w:styleId="187">
    <w:name w:val="标题 6 Char"/>
    <w:semiHidden/>
    <w:qFormat/>
    <w:uiPriority w:val="0"/>
    <w:rPr>
      <w:rFonts w:ascii="Calibri Light" w:hAnsi="Calibri Light" w:eastAsia="宋体" w:cs="Times New Roman"/>
      <w:b/>
      <w:bCs/>
      <w:kern w:val="2"/>
      <w:sz w:val="24"/>
      <w:szCs w:val="24"/>
    </w:rPr>
  </w:style>
  <w:style w:type="character" w:customStyle="1" w:styleId="188">
    <w:name w:val="标题 2 Char"/>
    <w:qFormat/>
    <w:uiPriority w:val="0"/>
    <w:rPr>
      <w:rFonts w:ascii="Arial" w:hAnsi="Arial" w:eastAsia="黑体"/>
      <w:b/>
      <w:sz w:val="32"/>
      <w:lang w:val="en-US" w:eastAsia="zh-CN" w:bidi="ar-SA"/>
    </w:rPr>
  </w:style>
  <w:style w:type="character" w:customStyle="1" w:styleId="189">
    <w:name w:val="标题 1 Char"/>
    <w:qFormat/>
    <w:uiPriority w:val="0"/>
    <w:rPr>
      <w:rFonts w:ascii="宋体" w:eastAsia="宋体"/>
      <w:b/>
      <w:kern w:val="44"/>
      <w:sz w:val="44"/>
      <w:lang w:val="en-US" w:eastAsia="zh-CN" w:bidi="ar-SA"/>
    </w:rPr>
  </w:style>
  <w:style w:type="character" w:customStyle="1" w:styleId="190">
    <w:name w:val="日期 Char"/>
    <w:qFormat/>
    <w:uiPriority w:val="0"/>
    <w:rPr>
      <w:rFonts w:ascii="宋体" w:eastAsia="宋体"/>
      <w:sz w:val="28"/>
      <w:lang w:val="en-US" w:eastAsia="zh-CN" w:bidi="ar-SA"/>
    </w:rPr>
  </w:style>
  <w:style w:type="character" w:customStyle="1" w:styleId="191">
    <w:name w:val="文档结构图 Char"/>
    <w:semiHidden/>
    <w:qFormat/>
    <w:uiPriority w:val="0"/>
    <w:rPr>
      <w:rFonts w:eastAsia="仿宋_GB2312"/>
      <w:sz w:val="30"/>
      <w:shd w:val="clear" w:color="auto" w:fill="000080"/>
      <w:lang w:bidi="ar-SA"/>
    </w:rPr>
  </w:style>
  <w:style w:type="character" w:customStyle="1" w:styleId="192">
    <w:name w:val="脚注文本 Char"/>
    <w:qFormat/>
    <w:uiPriority w:val="0"/>
    <w:rPr>
      <w:rFonts w:eastAsia="仿宋_GB2312"/>
      <w:kern w:val="2"/>
      <w:sz w:val="18"/>
      <w:szCs w:val="18"/>
    </w:rPr>
  </w:style>
  <w:style w:type="character" w:customStyle="1" w:styleId="193">
    <w:name w:val="纯文本 Char"/>
    <w:qFormat/>
    <w:uiPriority w:val="0"/>
    <w:rPr>
      <w:rFonts w:ascii="宋体" w:hAnsi="Courier New" w:eastAsia="宋体"/>
      <w:kern w:val="2"/>
      <w:sz w:val="21"/>
      <w:lang w:val="en-US" w:eastAsia="zh-CN" w:bidi="ar-SA"/>
    </w:rPr>
  </w:style>
  <w:style w:type="character" w:customStyle="1" w:styleId="194">
    <w:name w:val="标题 9 Char"/>
    <w:qFormat/>
    <w:uiPriority w:val="0"/>
    <w:rPr>
      <w:rFonts w:ascii="Arial" w:hAnsi="Arial" w:eastAsia="黑体"/>
      <w:color w:val="000000"/>
      <w:kern w:val="2"/>
      <w:sz w:val="24"/>
      <w:szCs w:val="24"/>
    </w:rPr>
  </w:style>
  <w:style w:type="character" w:customStyle="1" w:styleId="195">
    <w:name w:val="页眉 Char"/>
    <w:qFormat/>
    <w:uiPriority w:val="99"/>
    <w:rPr>
      <w:rFonts w:ascii="宋体" w:eastAsia="宋体"/>
      <w:sz w:val="18"/>
      <w:lang w:val="en-US" w:eastAsia="zh-CN" w:bidi="ar-SA"/>
    </w:rPr>
  </w:style>
  <w:style w:type="character" w:customStyle="1" w:styleId="196">
    <w:name w:val="正文文本缩进 2 Char"/>
    <w:qFormat/>
    <w:uiPriority w:val="0"/>
    <w:rPr>
      <w:rFonts w:eastAsia="仿宋_GB2312"/>
      <w:kern w:val="2"/>
      <w:sz w:val="30"/>
    </w:rPr>
  </w:style>
  <w:style w:type="character" w:customStyle="1" w:styleId="197">
    <w:name w:val="批注文字 Char"/>
    <w:qFormat/>
    <w:uiPriority w:val="0"/>
    <w:rPr>
      <w:kern w:val="2"/>
      <w:sz w:val="21"/>
      <w:szCs w:val="24"/>
    </w:rPr>
  </w:style>
  <w:style w:type="character" w:customStyle="1" w:styleId="198">
    <w:name w:val="标题 Char"/>
    <w:qFormat/>
    <w:uiPriority w:val="0"/>
    <w:rPr>
      <w:rFonts w:ascii="Calibri Light" w:hAnsi="Calibri Light" w:cs="Times New Roman"/>
      <w:b/>
      <w:bCs/>
      <w:kern w:val="2"/>
      <w:sz w:val="32"/>
      <w:szCs w:val="32"/>
    </w:rPr>
  </w:style>
  <w:style w:type="character" w:customStyle="1" w:styleId="199">
    <w:name w:val="正文缩进 Char"/>
    <w:qFormat/>
    <w:uiPriority w:val="0"/>
    <w:rPr>
      <w:rFonts w:ascii="宋体" w:eastAsia="宋体"/>
      <w:sz w:val="34"/>
      <w:lang w:val="en-US" w:eastAsia="zh-CN" w:bidi="ar-SA"/>
    </w:rPr>
  </w:style>
  <w:style w:type="character" w:customStyle="1" w:styleId="200">
    <w:name w:val="标题 3 Char"/>
    <w:qFormat/>
    <w:uiPriority w:val="9"/>
    <w:rPr>
      <w:rFonts w:ascii="宋体" w:eastAsia="宋体"/>
      <w:b/>
      <w:sz w:val="32"/>
      <w:lang w:val="en-US" w:eastAsia="zh-CN" w:bidi="ar-SA"/>
    </w:rPr>
  </w:style>
  <w:style w:type="character" w:customStyle="1" w:styleId="201">
    <w:name w:val="批注主题 Char"/>
    <w:semiHidden/>
    <w:qFormat/>
    <w:uiPriority w:val="0"/>
    <w:rPr>
      <w:rFonts w:eastAsia="仿宋_GB2312"/>
      <w:b/>
      <w:bCs/>
      <w:kern w:val="2"/>
      <w:sz w:val="30"/>
    </w:rPr>
  </w:style>
  <w:style w:type="character" w:customStyle="1" w:styleId="202">
    <w:name w:val="正文文本 2 Char"/>
    <w:qFormat/>
    <w:uiPriority w:val="0"/>
    <w:rPr>
      <w:rFonts w:eastAsia="宋体"/>
      <w:kern w:val="2"/>
      <w:sz w:val="21"/>
      <w:szCs w:val="24"/>
      <w:lang w:val="en-US" w:eastAsia="zh-CN" w:bidi="ar-SA"/>
    </w:rPr>
  </w:style>
  <w:style w:type="character" w:customStyle="1" w:styleId="203">
    <w:name w:val="正文文本 3 Char"/>
    <w:qFormat/>
    <w:uiPriority w:val="0"/>
    <w:rPr>
      <w:rFonts w:eastAsia="宋体"/>
      <w:kern w:val="2"/>
      <w:sz w:val="16"/>
      <w:szCs w:val="16"/>
      <w:lang w:val="en-US" w:eastAsia="zh-CN" w:bidi="ar-SA"/>
    </w:rPr>
  </w:style>
  <w:style w:type="paragraph" w:customStyle="1" w:styleId="204">
    <w:name w:val="标题（黑体三号）"/>
    <w:basedOn w:val="40"/>
    <w:link w:val="205"/>
    <w:qFormat/>
    <w:uiPriority w:val="0"/>
    <w:pPr>
      <w:spacing w:line="360" w:lineRule="auto"/>
      <w:ind w:firstLine="435"/>
    </w:pPr>
    <w:rPr>
      <w:rFonts w:ascii="黑体" w:hAnsi="Cambria" w:eastAsia="黑体"/>
    </w:rPr>
  </w:style>
  <w:style w:type="character" w:customStyle="1" w:styleId="205">
    <w:name w:val="标题（黑体三号） Char"/>
    <w:link w:val="204"/>
    <w:qFormat/>
    <w:locked/>
    <w:uiPriority w:val="0"/>
    <w:rPr>
      <w:rFonts w:ascii="黑体" w:hAnsi="Cambria" w:eastAsia="黑体"/>
      <w:b/>
      <w:bCs/>
      <w:kern w:val="2"/>
      <w:sz w:val="32"/>
      <w:szCs w:val="32"/>
    </w:rPr>
  </w:style>
  <w:style w:type="character" w:customStyle="1" w:styleId="206">
    <w:name w:val="正文文本 字符2"/>
    <w:qFormat/>
    <w:uiPriority w:val="0"/>
    <w:rPr>
      <w:rFonts w:ascii="仿宋_GB2312" w:eastAsia="仿宋_GB2312"/>
      <w:sz w:val="28"/>
    </w:rPr>
  </w:style>
  <w:style w:type="character" w:customStyle="1" w:styleId="207">
    <w:name w:val="标题 8 字符1"/>
    <w:qFormat/>
    <w:uiPriority w:val="0"/>
    <w:rPr>
      <w:rFonts w:ascii="Arial" w:hAnsi="Arial" w:eastAsia="黑体" w:cs="Times New Roman"/>
      <w:color w:val="000000"/>
      <w:sz w:val="24"/>
      <w:szCs w:val="24"/>
    </w:rPr>
  </w:style>
  <w:style w:type="character" w:customStyle="1" w:styleId="208">
    <w:name w:val="批注框文本 字符2"/>
    <w:qFormat/>
    <w:uiPriority w:val="0"/>
    <w:rPr>
      <w:rFonts w:eastAsia="仿宋_GB2312"/>
      <w:sz w:val="18"/>
      <w:szCs w:val="18"/>
    </w:rPr>
  </w:style>
  <w:style w:type="character" w:customStyle="1" w:styleId="209">
    <w:name w:val="标题 7 字符1"/>
    <w:qFormat/>
    <w:uiPriority w:val="0"/>
    <w:rPr>
      <w:rFonts w:ascii="宋体" w:hAnsi="Times New Roman" w:eastAsia="宋体" w:cs="Times New Roman"/>
      <w:b/>
      <w:color w:val="000000"/>
      <w:sz w:val="24"/>
      <w:szCs w:val="24"/>
    </w:rPr>
  </w:style>
  <w:style w:type="character" w:customStyle="1" w:styleId="210">
    <w:name w:val="标题 6 字符1"/>
    <w:qFormat/>
    <w:uiPriority w:val="0"/>
    <w:rPr>
      <w:rFonts w:ascii="Calibri Light" w:hAnsi="Calibri Light" w:eastAsia="宋体" w:cs="Times New Roman"/>
      <w:b/>
      <w:bCs/>
      <w:sz w:val="24"/>
      <w:szCs w:val="24"/>
    </w:rPr>
  </w:style>
  <w:style w:type="character" w:customStyle="1" w:styleId="211">
    <w:name w:val="标题 1 字符1"/>
    <w:qFormat/>
    <w:uiPriority w:val="0"/>
    <w:rPr>
      <w:rFonts w:ascii="宋体" w:hAnsi="Times New Roman" w:eastAsia="宋体" w:cs="Times New Roman"/>
      <w:b/>
      <w:kern w:val="44"/>
      <w:sz w:val="44"/>
      <w:szCs w:val="20"/>
    </w:rPr>
  </w:style>
  <w:style w:type="character" w:customStyle="1" w:styleId="212">
    <w:name w:val="日期 字符2"/>
    <w:qFormat/>
    <w:uiPriority w:val="0"/>
    <w:rPr>
      <w:rFonts w:ascii="宋体" w:eastAsia="宋体"/>
      <w:sz w:val="28"/>
    </w:rPr>
  </w:style>
  <w:style w:type="character" w:customStyle="1" w:styleId="213">
    <w:name w:val="文档结构图 字符2"/>
    <w:qFormat/>
    <w:uiPriority w:val="0"/>
    <w:rPr>
      <w:rFonts w:eastAsia="仿宋_GB2312"/>
      <w:sz w:val="30"/>
      <w:shd w:val="clear" w:color="auto" w:fill="000080"/>
    </w:rPr>
  </w:style>
  <w:style w:type="character" w:customStyle="1" w:styleId="214">
    <w:name w:val="标题 9 字符1"/>
    <w:qFormat/>
    <w:uiPriority w:val="0"/>
    <w:rPr>
      <w:rFonts w:ascii="Arial" w:hAnsi="Arial" w:eastAsia="黑体" w:cs="Times New Roman"/>
      <w:color w:val="000000"/>
      <w:sz w:val="24"/>
      <w:szCs w:val="24"/>
    </w:rPr>
  </w:style>
  <w:style w:type="character" w:customStyle="1" w:styleId="215">
    <w:name w:val="批注文字 字符2"/>
    <w:qFormat/>
    <w:uiPriority w:val="0"/>
    <w:rPr>
      <w:szCs w:val="24"/>
    </w:rPr>
  </w:style>
  <w:style w:type="character" w:customStyle="1" w:styleId="216">
    <w:name w:val="标题 字符2"/>
    <w:qFormat/>
    <w:uiPriority w:val="0"/>
    <w:rPr>
      <w:rFonts w:ascii="Calibri Light" w:hAnsi="Calibri Light" w:cs="Times New Roman"/>
      <w:b/>
      <w:bCs/>
      <w:sz w:val="32"/>
      <w:szCs w:val="32"/>
    </w:rPr>
  </w:style>
  <w:style w:type="character" w:customStyle="1" w:styleId="217">
    <w:name w:val="标题 3 字符1"/>
    <w:qFormat/>
    <w:uiPriority w:val="0"/>
    <w:rPr>
      <w:rFonts w:ascii="宋体" w:hAnsi="Times New Roman" w:eastAsia="宋体" w:cs="Times New Roman"/>
      <w:b/>
      <w:kern w:val="0"/>
      <w:sz w:val="32"/>
      <w:szCs w:val="20"/>
    </w:rPr>
  </w:style>
  <w:style w:type="character" w:customStyle="1" w:styleId="218">
    <w:name w:val="批注主题 字符2"/>
    <w:qFormat/>
    <w:uiPriority w:val="0"/>
    <w:rPr>
      <w:rFonts w:eastAsia="仿宋_GB2312"/>
      <w:b/>
      <w:bCs/>
      <w:sz w:val="30"/>
    </w:rPr>
  </w:style>
  <w:style w:type="paragraph" w:customStyle="1" w:styleId="219">
    <w:name w:val="Revision"/>
    <w:qFormat/>
    <w:uiPriority w:val="0"/>
    <w:rPr>
      <w:rFonts w:ascii="Times New Roman" w:hAnsi="Times New Roman" w:eastAsia="仿宋_GB2312" w:cs="Times New Roman"/>
      <w:kern w:val="2"/>
      <w:sz w:val="30"/>
      <w:lang w:val="en-US" w:eastAsia="zh-CN" w:bidi="ar-SA"/>
    </w:rPr>
  </w:style>
  <w:style w:type="character" w:customStyle="1" w:styleId="220">
    <w:name w:val="Subtle Emphasis"/>
    <w:qFormat/>
    <w:uiPriority w:val="0"/>
    <w:rPr>
      <w:i/>
      <w:iCs/>
      <w:color w:val="808080"/>
    </w:rPr>
  </w:style>
  <w:style w:type="character" w:customStyle="1" w:styleId="221">
    <w:name w:val="Intense Reference"/>
    <w:qFormat/>
    <w:uiPriority w:val="0"/>
    <w:rPr>
      <w:b/>
      <w:bCs/>
      <w:smallCaps/>
      <w:color w:val="C0504D"/>
      <w:spacing w:val="5"/>
      <w:u w:val="single"/>
    </w:rPr>
  </w:style>
  <w:style w:type="character" w:customStyle="1" w:styleId="222">
    <w:name w:val="Book Title"/>
    <w:qFormat/>
    <w:uiPriority w:val="0"/>
    <w:rPr>
      <w:b/>
      <w:bCs/>
      <w:smallCaps/>
      <w:spacing w:val="5"/>
    </w:rPr>
  </w:style>
  <w:style w:type="character" w:customStyle="1" w:styleId="223">
    <w:name w:val="Intense Emphasis"/>
    <w:qFormat/>
    <w:uiPriority w:val="0"/>
    <w:rPr>
      <w:b/>
      <w:bCs/>
      <w:i/>
      <w:iCs/>
      <w:color w:val="4F81BD"/>
    </w:rPr>
  </w:style>
  <w:style w:type="character" w:customStyle="1" w:styleId="224">
    <w:name w:val="Subtle Reference"/>
    <w:qFormat/>
    <w:uiPriority w:val="0"/>
    <w:rPr>
      <w:smallCaps/>
      <w:color w:val="C0504D"/>
      <w:u w:val="single"/>
    </w:rPr>
  </w:style>
  <w:style w:type="paragraph" w:customStyle="1" w:styleId="225">
    <w:name w:val="TOC Heading"/>
    <w:basedOn w:val="3"/>
    <w:next w:val="1"/>
    <w:qFormat/>
    <w:uiPriority w:val="0"/>
    <w:pPr>
      <w:autoSpaceDE/>
      <w:autoSpaceDN/>
      <w:adjustRightInd/>
      <w:spacing w:line="576" w:lineRule="auto"/>
      <w:jc w:val="both"/>
      <w:textAlignment w:val="auto"/>
      <w:outlineLvl w:val="9"/>
    </w:pPr>
    <w:rPr>
      <w:rFonts w:ascii="Calibri" w:hAnsi="Calibri"/>
      <w:bCs/>
      <w:szCs w:val="44"/>
    </w:rPr>
  </w:style>
  <w:style w:type="paragraph" w:customStyle="1" w:styleId="226">
    <w:name w:val="null3"/>
    <w:hidden/>
    <w:qFormat/>
    <w:uiPriority w:val="0"/>
    <w:rPr>
      <w:rFonts w:hint="eastAsia" w:asciiTheme="minorHAnsi" w:hAnsiTheme="minorHAnsi" w:eastAsiaTheme="minorEastAsia" w:cstheme="minorBidi"/>
      <w:lang w:val="en-US" w:eastAsia="zh-Hans" w:bidi="ar-SA"/>
    </w:rPr>
  </w:style>
  <w:style w:type="paragraph" w:customStyle="1" w:styleId="227">
    <w:name w:val="_Style 1"/>
    <w:basedOn w:val="1"/>
    <w:qFormat/>
    <w:uiPriority w:val="0"/>
    <w:pPr>
      <w:ind w:firstLine="420" w:firstLineChars="200"/>
    </w:pPr>
  </w:style>
  <w:style w:type="paragraph" w:customStyle="1" w:styleId="228">
    <w:name w:val="列出段落1"/>
    <w:basedOn w:val="1"/>
    <w:qFormat/>
    <w:uiPriority w:val="34"/>
    <w:pPr>
      <w:ind w:firstLine="420" w:firstLineChars="200"/>
    </w:pPr>
  </w:style>
  <w:style w:type="character" w:customStyle="1" w:styleId="229">
    <w:name w:val="font61"/>
    <w:basedOn w:val="44"/>
    <w:qFormat/>
    <w:uiPriority w:val="0"/>
    <w:rPr>
      <w:rFonts w:hint="eastAsia" w:ascii="宋体" w:hAnsi="宋体" w:eastAsia="宋体" w:cs="宋体"/>
      <w:color w:val="000000"/>
      <w:sz w:val="18"/>
      <w:szCs w:val="18"/>
      <w:u w:val="none"/>
    </w:rPr>
  </w:style>
  <w:style w:type="paragraph" w:customStyle="1" w:styleId="230">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41</Pages>
  <Words>13756</Words>
  <Characters>14551</Characters>
  <Lines>55</Lines>
  <Paragraphs>64</Paragraphs>
  <TotalTime>1</TotalTime>
  <ScaleCrop>false</ScaleCrop>
  <LinksUpToDate>false</LinksUpToDate>
  <CharactersWithSpaces>14849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2024-06-12T17:45:00Z</dcterms:created>
  <dc:creator>admin</dc:creator>
  <cp:lastModifiedBy>氼迗  </cp:lastModifiedBy>
  <cp:lastPrinted>2023-06-09T10:30:00Z</cp:lastPrinted>
  <dcterms:modified xsi:type="dcterms:W3CDTF">2025-09-29T02:09:29Z</dcterms:modified>
  <dc:title>目    录</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0107FD289C134CF08D53C759068E2AFD_13</vt:lpwstr>
  </property>
  <property fmtid="{D5CDD505-2E9C-101B-9397-08002B2CF9AE}" pid="4" name="KSOTemplateDocerSaveRecord">
    <vt:lpwstr>eyJoZGlkIjoiZDUxNWNjMTVhZmQ1NDYzNDYyZmQxZDczNGYxNmJkYmQiLCJ1c2VySWQiOiIyODQ4OTIwNjYifQ==</vt:lpwstr>
  </property>
</Properties>
</file>