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spacing w:before="100" w:after="100" w:line="360" w:lineRule="auto"/>
        <w:jc w:val="both"/>
        <w:rPr>
          <w:rFonts w:ascii="宋体" w:hAnsi="宋体" w:eastAsia="宋体"/>
          <w:b/>
          <w:sz w:val="56"/>
          <w:szCs w:val="56"/>
        </w:rPr>
      </w:pPr>
      <w:bookmarkStart w:id="0" w:name="_Toc458262589"/>
    </w:p>
    <w:p w14:paraId="6864F13B">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开平市中心医院2025年护士鞋</w:t>
      </w:r>
    </w:p>
    <w:p w14:paraId="0346934C">
      <w:pPr>
        <w:spacing w:before="100" w:after="100" w:line="360" w:lineRule="auto"/>
        <w:jc w:val="center"/>
        <w:rPr>
          <w:rFonts w:ascii="宋体" w:hAnsi="宋体" w:eastAsia="宋体"/>
          <w:b/>
          <w:sz w:val="52"/>
          <w:szCs w:val="52"/>
        </w:rPr>
      </w:pPr>
      <w:r>
        <w:rPr>
          <w:rFonts w:hint="eastAsia" w:ascii="宋体" w:hAnsi="宋体" w:eastAsia="宋体"/>
          <w:b/>
          <w:sz w:val="56"/>
          <w:szCs w:val="56"/>
        </w:rPr>
        <w:t>采购项目</w:t>
      </w:r>
    </w:p>
    <w:p w14:paraId="1BC3878A">
      <w:pPr>
        <w:spacing w:before="100" w:after="100" w:line="360" w:lineRule="auto"/>
        <w:jc w:val="center"/>
        <w:rPr>
          <w:rFonts w:ascii="宋体" w:hAnsi="宋体" w:eastAsia="宋体"/>
          <w:b/>
          <w:sz w:val="52"/>
          <w:szCs w:val="52"/>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3AB1D7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b/>
          <w:sz w:val="32"/>
        </w:rPr>
      </w:pPr>
      <w:bookmarkStart w:id="1" w:name="_Hlk169100851"/>
    </w:p>
    <w:p w14:paraId="594C8A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rPr>
      </w:pPr>
      <w:r>
        <w:rPr>
          <w:rFonts w:hint="eastAsia" w:ascii="宋体" w:hAnsi="宋体" w:eastAsia="宋体"/>
          <w:b/>
          <w:sz w:val="32"/>
        </w:rPr>
        <w:t>开平市中心医院</w:t>
      </w:r>
    </w:p>
    <w:bookmarkEnd w:id="1"/>
    <w:p w14:paraId="03533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val="en-US" w:eastAsia="zh-CN"/>
        </w:rPr>
        <w:sectPr>
          <w:headerReference r:id="rId4" w:type="first"/>
          <w:footerReference r:id="rId6" w:type="first"/>
          <w:headerReference r:id="rId3" w:type="default"/>
          <w:footerReference r:id="rId5" w:type="default"/>
          <w:pgSz w:w="11906" w:h="16838"/>
          <w:pgMar w:top="1440" w:right="1106" w:bottom="1440" w:left="1259" w:header="851" w:footer="992" w:gutter="0"/>
          <w:pgNumType w:fmt="decimal" w:start="1"/>
          <w:cols w:space="720" w:num="1"/>
          <w:titlePg/>
          <w:docGrid w:type="lines" w:linePitch="312" w:charSpace="0"/>
        </w:sectPr>
      </w:pPr>
      <w:r>
        <w:rPr>
          <w:rFonts w:hint="eastAsia" w:ascii="宋体" w:hAnsi="宋体" w:eastAsia="宋体" w:cs="宋体"/>
          <w:b/>
          <w:sz w:val="32"/>
          <w:szCs w:val="32"/>
        </w:rPr>
        <w:t>二〇二</w:t>
      </w:r>
      <w:r>
        <w:rPr>
          <w:rFonts w:hint="eastAsia" w:ascii="宋体" w:hAnsi="宋体" w:eastAsia="宋体" w:cs="宋体"/>
          <w:b/>
          <w:sz w:val="32"/>
          <w:szCs w:val="32"/>
          <w:lang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八月</w:t>
      </w:r>
    </w:p>
    <w:p w14:paraId="5A8714DD">
      <w:pPr>
        <w:pStyle w:val="30"/>
        <w:spacing w:line="360" w:lineRule="auto"/>
        <w:ind w:left="300" w:right="300"/>
        <w:jc w:val="center"/>
        <w:outlineLvl w:val="0"/>
        <w:rPr>
          <w:rFonts w:ascii="宋体"/>
          <w:b/>
          <w:szCs w:val="28"/>
        </w:rPr>
      </w:pPr>
    </w:p>
    <w:p w14:paraId="01C83A05">
      <w:pPr>
        <w:pStyle w:val="30"/>
        <w:spacing w:line="360" w:lineRule="auto"/>
        <w:ind w:left="300" w:right="300"/>
        <w:jc w:val="center"/>
        <w:outlineLvl w:val="0"/>
        <w:rPr>
          <w:rFonts w:ascii="宋体"/>
          <w:sz w:val="30"/>
          <w:szCs w:val="30"/>
        </w:rPr>
      </w:pPr>
      <w:r>
        <w:rPr>
          <w:rFonts w:ascii="宋体"/>
          <w:b/>
          <w:sz w:val="30"/>
          <w:szCs w:val="30"/>
        </w:rPr>
        <w:t>目    录</w:t>
      </w:r>
    </w:p>
    <w:p w14:paraId="2673AF3D">
      <w:pPr>
        <w:pStyle w:val="30"/>
        <w:tabs>
          <w:tab w:val="right" w:leader="dot" w:pos="7938"/>
          <w:tab w:val="clear" w:pos="8505"/>
        </w:tabs>
        <w:spacing w:line="360" w:lineRule="auto"/>
        <w:ind w:right="393" w:rightChars="131"/>
        <w:jc w:val="center"/>
        <w:rPr>
          <w:rFonts w:hint="eastAsia" w:ascii="宋体" w:hAnsi="宋体" w:eastAsia="宋体" w:cs="宋体"/>
          <w:sz w:val="28"/>
          <w:szCs w:val="28"/>
          <w14:ligatures w14:val="standardContextual"/>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TOC \o "1-2" \h \z \u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"_Toc169861802"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 xml:space="preserve">第一部分  </w:t>
      </w:r>
      <w:r>
        <w:rPr>
          <w:rStyle w:val="48"/>
          <w:rFonts w:hint="eastAsia" w:ascii="宋体" w:hAnsi="宋体" w:eastAsia="宋体" w:cs="宋体"/>
          <w:sz w:val="28"/>
          <w:szCs w:val="28"/>
          <w:lang w:eastAsia="zh-CN"/>
        </w:rPr>
        <w:t>遴选</w:t>
      </w:r>
      <w:r>
        <w:rPr>
          <w:rStyle w:val="48"/>
          <w:rFonts w:hint="eastAsia" w:ascii="宋体" w:hAnsi="宋体" w:eastAsia="宋体" w:cs="宋体"/>
          <w:sz w:val="28"/>
          <w:szCs w:val="28"/>
        </w:rPr>
        <w:t>邀请函</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14:paraId="405E9E8B">
      <w:pPr>
        <w:pStyle w:val="30"/>
        <w:tabs>
          <w:tab w:val="right" w:leader="dot" w:pos="7938"/>
          <w:tab w:val="clear" w:pos="8505"/>
        </w:tabs>
        <w:spacing w:line="360" w:lineRule="auto"/>
        <w:ind w:right="393" w:rightChars="131"/>
        <w:jc w:val="center"/>
        <w:rPr>
          <w:rFonts w:hint="eastAsia" w:ascii="宋体" w:hAnsi="宋体" w:eastAsia="宋体" w:cs="宋体"/>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"_Toc169861813"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二</w:t>
      </w:r>
      <w:r>
        <w:rPr>
          <w:rStyle w:val="48"/>
          <w:rFonts w:hint="eastAsia" w:ascii="宋体" w:hAnsi="宋体" w:eastAsia="宋体" w:cs="宋体"/>
          <w:sz w:val="28"/>
          <w:szCs w:val="28"/>
        </w:rPr>
        <w:t>部分  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7</w:t>
      </w:r>
      <w:r>
        <w:rPr>
          <w:rFonts w:hint="eastAsia" w:ascii="宋体" w:hAnsi="宋体" w:eastAsia="宋体" w:cs="宋体"/>
          <w:sz w:val="28"/>
          <w:szCs w:val="28"/>
        </w:rPr>
        <w:fldChar w:fldCharType="end"/>
      </w:r>
    </w:p>
    <w:p w14:paraId="535FE202">
      <w:pPr>
        <w:pStyle w:val="30"/>
        <w:tabs>
          <w:tab w:val="right" w:leader="dot" w:pos="7938"/>
          <w:tab w:val="clear" w:pos="8505"/>
        </w:tabs>
        <w:spacing w:line="360" w:lineRule="auto"/>
        <w:ind w:right="393" w:rightChars="131"/>
        <w:jc w:val="center"/>
        <w:rPr>
          <w:rFonts w:hint="eastAsia" w:ascii="宋体" w:hAnsi="宋体" w:eastAsia="宋体" w:cs="宋体"/>
          <w:bCs w:val="0"/>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"_Toc169861823"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三</w:t>
      </w:r>
      <w:r>
        <w:rPr>
          <w:rStyle w:val="48"/>
          <w:rFonts w:hint="eastAsia" w:ascii="宋体" w:hAnsi="宋体" w:eastAsia="宋体" w:cs="宋体"/>
          <w:sz w:val="28"/>
          <w:szCs w:val="28"/>
        </w:rPr>
        <w:t>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_Toc169861823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727DEF">
      <w:pPr>
        <w:pStyle w:val="30"/>
        <w:tabs>
          <w:tab w:val="right" w:leader="dot" w:pos="7938"/>
          <w:tab w:val="clear" w:pos="8505"/>
        </w:tabs>
        <w:spacing w:line="360" w:lineRule="auto"/>
        <w:ind w:right="393" w:rightChars="131"/>
        <w:jc w:val="center"/>
        <w:rPr>
          <w:rFonts w:hint="eastAsia" w:ascii="宋体" w:hAnsi="宋体" w:eastAsia="宋体" w:cs="宋体"/>
          <w:bCs w:val="0"/>
          <w:sz w:val="28"/>
          <w:szCs w:val="28"/>
          <w:lang w:val="en-US" w:eastAsia="zh-CN"/>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"_Toc169861824"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四</w:t>
      </w:r>
      <w:r>
        <w:rPr>
          <w:rStyle w:val="48"/>
          <w:rFonts w:hint="eastAsia" w:ascii="宋体" w:hAnsi="宋体" w:eastAsia="宋体" w:cs="宋体"/>
          <w:sz w:val="28"/>
          <w:szCs w:val="28"/>
        </w:rPr>
        <w:t>部分 合同书格式</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7</w:t>
      </w:r>
    </w:p>
    <w:p w14:paraId="5015A6E6">
      <w:pPr>
        <w:pStyle w:val="30"/>
        <w:tabs>
          <w:tab w:val="right" w:leader="dot" w:pos="7938"/>
          <w:tab w:val="clear" w:pos="8505"/>
        </w:tabs>
        <w:spacing w:line="360" w:lineRule="auto"/>
        <w:ind w:right="393" w:rightChars="13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"_Toc169861825"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五</w:t>
      </w:r>
      <w:r>
        <w:rPr>
          <w:rStyle w:val="48"/>
          <w:rFonts w:hint="eastAsia" w:ascii="宋体" w:hAnsi="宋体" w:eastAsia="宋体" w:cs="宋体"/>
          <w:sz w:val="28"/>
          <w:szCs w:val="28"/>
        </w:rPr>
        <w:t>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_Toc169861825 \h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b/>
          <w:sz w:val="28"/>
          <w:szCs w:val="28"/>
        </w:rPr>
        <w:fldChar w:fldCharType="end"/>
      </w:r>
      <w:bookmarkStart w:id="2" w:name="_Toc52027882"/>
      <w:bookmarkStart w:id="3" w:name="_Toc52021495"/>
      <w:bookmarkStart w:id="4" w:name="_Toc56352965"/>
      <w:bookmarkStart w:id="5" w:name="_Toc51756448"/>
      <w:bookmarkStart w:id="6" w:name="_Toc51939413"/>
      <w:bookmarkStart w:id="7" w:name="_Toc476976153"/>
      <w:bookmarkStart w:id="8" w:name="_Toc467236720"/>
      <w:bookmarkStart w:id="9" w:name="_Toc486671525"/>
      <w:r>
        <w:br w:type="page"/>
      </w:r>
    </w:p>
    <w:p w14:paraId="41452421">
      <w:pPr>
        <w:pStyle w:val="3"/>
        <w:keepNext w:val="0"/>
        <w:keepLines w:val="0"/>
        <w:snapToGrid w:val="0"/>
        <w:spacing w:before="0" w:after="0" w:line="360" w:lineRule="auto"/>
        <w:ind w:firstLine="426" w:firstLineChars="118"/>
        <w:jc w:val="center"/>
        <w:rPr>
          <w:rFonts w:ascii="Times New Roman"/>
          <w:sz w:val="36"/>
          <w:szCs w:val="28"/>
        </w:rPr>
      </w:pPr>
      <w:bookmarkStart w:id="10" w:name="_Toc169861802"/>
      <w:r>
        <w:rPr>
          <w:rFonts w:ascii="Times New Roman"/>
          <w:sz w:val="36"/>
          <w:szCs w:val="28"/>
        </w:rPr>
        <w:t>第一部分</w:t>
      </w:r>
      <w:bookmarkEnd w:id="2"/>
      <w:bookmarkEnd w:id="3"/>
      <w:bookmarkEnd w:id="4"/>
      <w:bookmarkEnd w:id="5"/>
      <w:bookmarkEnd w:id="6"/>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7"/>
      <w:bookmarkEnd w:id="8"/>
      <w:bookmarkEnd w:id="9"/>
      <w:bookmarkEnd w:id="10"/>
    </w:p>
    <w:p w14:paraId="387AE826">
      <w:pPr>
        <w:spacing w:line="360" w:lineRule="auto"/>
        <w:ind w:firstLine="480" w:firstLineChars="200"/>
        <w:rPr>
          <w:rFonts w:hint="eastAsia" w:ascii="宋体" w:hAnsi="宋体" w:eastAsia="宋体" w:cs="宋体"/>
          <w:sz w:val="24"/>
          <w:szCs w:val="24"/>
        </w:rPr>
      </w:pPr>
      <w:bookmarkStart w:id="11" w:name="_Hlk169100961"/>
      <w:r>
        <w:rPr>
          <w:rFonts w:hint="eastAsia" w:ascii="宋体" w:hAnsi="宋体" w:eastAsia="宋体" w:cs="宋体"/>
          <w:bCs/>
          <w:sz w:val="24"/>
          <w:szCs w:val="24"/>
        </w:rPr>
        <w:t>就</w:t>
      </w:r>
      <w:r>
        <w:rPr>
          <w:rFonts w:hint="eastAsia" w:ascii="宋体" w:hAnsi="宋体" w:eastAsia="宋体" w:cs="宋体"/>
          <w:b/>
          <w:bCs/>
          <w:sz w:val="24"/>
          <w:szCs w:val="24"/>
          <w:u w:val="none"/>
          <w:lang w:eastAsia="zh-CN"/>
        </w:rPr>
        <w:t>开平市中心医院2025年护士鞋采购项目</w:t>
      </w:r>
      <w:r>
        <w:rPr>
          <w:rFonts w:hint="eastAsia" w:ascii="宋体" w:hAnsi="宋体" w:eastAsia="宋体" w:cs="宋体"/>
          <w:bCs/>
          <w:sz w:val="24"/>
          <w:szCs w:val="24"/>
        </w:rPr>
        <w:t>进行</w:t>
      </w:r>
      <w:r>
        <w:rPr>
          <w:rFonts w:hint="eastAsia" w:ascii="宋体" w:hAnsi="宋体" w:eastAsia="宋体" w:cs="宋体"/>
          <w:b/>
          <w:bCs w:val="0"/>
          <w:sz w:val="24"/>
          <w:szCs w:val="24"/>
          <w:lang w:val="en-US" w:eastAsia="zh-CN"/>
        </w:rPr>
        <w:t>院内</w:t>
      </w:r>
      <w:r>
        <w:rPr>
          <w:rFonts w:hint="eastAsia" w:ascii="宋体" w:hAnsi="宋体" w:eastAsia="宋体" w:cs="宋体"/>
          <w:b/>
          <w:sz w:val="24"/>
          <w:szCs w:val="24"/>
          <w:lang w:eastAsia="zh-CN"/>
        </w:rPr>
        <w:t>遴选</w:t>
      </w:r>
      <w:r>
        <w:rPr>
          <w:rFonts w:hint="eastAsia" w:ascii="宋体" w:hAnsi="宋体" w:eastAsia="宋体" w:cs="宋体"/>
          <w:bCs/>
          <w:sz w:val="24"/>
          <w:szCs w:val="24"/>
        </w:rPr>
        <w:t>采购。现邀请有相应服务能</w:t>
      </w:r>
      <w:r>
        <w:rPr>
          <w:rFonts w:hint="eastAsia" w:ascii="宋体" w:hAnsi="宋体" w:eastAsia="宋体" w:cs="宋体"/>
          <w:sz w:val="24"/>
          <w:szCs w:val="24"/>
        </w:rPr>
        <w:t>力的企业，就下列相关服务提交密封响应文件。</w:t>
      </w:r>
    </w:p>
    <w:bookmarkEnd w:id="11"/>
    <w:p w14:paraId="7DD30214">
      <w:pPr>
        <w:pStyle w:val="6"/>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12" w:name="_Toc367082515"/>
      <w:bookmarkStart w:id="13" w:name="_Toc294013653"/>
      <w:bookmarkStart w:id="14" w:name="_Toc315688531"/>
      <w:bookmarkStart w:id="15" w:name="_Toc202872942"/>
      <w:bookmarkStart w:id="16" w:name="_Toc52021497"/>
      <w:bookmarkStart w:id="17" w:name="_Toc52027884"/>
      <w:bookmarkStart w:id="18" w:name="_Toc56352967"/>
      <w:bookmarkStart w:id="19" w:name="_Toc51756450"/>
      <w:bookmarkStart w:id="20" w:name="_Toc476976154"/>
      <w:bookmarkStart w:id="21" w:name="_Toc458262591"/>
      <w:bookmarkStart w:id="22" w:name="_Toc51939415"/>
      <w:bookmarkStart w:id="23" w:name="_Toc467236722"/>
      <w:bookmarkStart w:id="24" w:name="_Toc486671526"/>
      <w:r>
        <w:rPr>
          <w:rFonts w:hint="eastAsia" w:ascii="宋体" w:hAnsi="宋体" w:eastAsia="宋体" w:cs="宋体"/>
          <w:b/>
          <w:bCs/>
          <w:sz w:val="24"/>
          <w:szCs w:val="24"/>
        </w:rPr>
        <w:t>1．项目概况</w:t>
      </w:r>
      <w:bookmarkEnd w:id="12"/>
      <w:bookmarkEnd w:id="13"/>
      <w:bookmarkEnd w:id="14"/>
      <w:bookmarkEnd w:id="15"/>
    </w:p>
    <w:p w14:paraId="15C438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eastAsia="zh-CN"/>
        </w:rPr>
      </w:pPr>
      <w:bookmarkStart w:id="25" w:name="_Toc315688532"/>
      <w:bookmarkStart w:id="26" w:name="_Toc367082516"/>
      <w:bookmarkStart w:id="27" w:name="_Toc202872943"/>
      <w:bookmarkStart w:id="28" w:name="_Toc294013654"/>
      <w:r>
        <w:rPr>
          <w:rFonts w:hint="eastAsia" w:ascii="宋体" w:hAnsi="宋体" w:eastAsia="宋体" w:cs="宋体"/>
          <w:bCs/>
          <w:sz w:val="24"/>
          <w:szCs w:val="24"/>
        </w:rPr>
        <w:t>1.1项目名称：</w:t>
      </w:r>
      <w:r>
        <w:rPr>
          <w:rFonts w:hint="eastAsia" w:ascii="宋体" w:hAnsi="宋体" w:eastAsia="宋体" w:cs="宋体"/>
          <w:bCs/>
          <w:sz w:val="24"/>
          <w:szCs w:val="24"/>
          <w:lang w:eastAsia="zh-CN"/>
        </w:rPr>
        <w:t>开平市中心医院2025年护士鞋采购项目</w:t>
      </w:r>
    </w:p>
    <w:p w14:paraId="79C225FA">
      <w:pPr>
        <w:spacing w:line="360" w:lineRule="auto"/>
        <w:ind w:left="482"/>
        <w:rPr>
          <w:rFonts w:hint="eastAsia" w:ascii="宋体" w:hAnsi="宋体" w:eastAsia="宋体" w:cs="宋体"/>
          <w:b w:val="0"/>
          <w:bCs w:val="0"/>
          <w:sz w:val="24"/>
          <w:szCs w:val="24"/>
          <w:u w:val="none"/>
          <w:lang w:eastAsia="zh-CN"/>
        </w:rPr>
      </w:pPr>
      <w:r>
        <w:rPr>
          <w:rFonts w:hint="eastAsia" w:ascii="宋体" w:hAnsi="宋体" w:eastAsia="宋体" w:cs="宋体"/>
          <w:bCs/>
          <w:sz w:val="24"/>
          <w:szCs w:val="24"/>
        </w:rPr>
        <w:t>1.2</w:t>
      </w:r>
      <w:r>
        <w:rPr>
          <w:rFonts w:hint="eastAsia" w:ascii="宋体" w:hAnsi="宋体" w:eastAsia="宋体" w:cs="宋体"/>
          <w:b w:val="0"/>
          <w:bCs w:val="0"/>
          <w:sz w:val="24"/>
          <w:szCs w:val="24"/>
        </w:rPr>
        <w:t>采购数量：</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701</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none"/>
          <w:lang w:val="en-US" w:eastAsia="zh-CN"/>
        </w:rPr>
        <w:t>双</w:t>
      </w:r>
      <w:r>
        <w:rPr>
          <w:rFonts w:hint="eastAsia" w:ascii="宋体" w:hAnsi="宋体" w:eastAsia="宋体" w:cs="宋体"/>
          <w:b w:val="0"/>
          <w:bCs w:val="0"/>
          <w:sz w:val="24"/>
          <w:szCs w:val="24"/>
          <w:u w:val="none"/>
        </w:rPr>
        <w:t xml:space="preserve"> </w:t>
      </w:r>
    </w:p>
    <w:p w14:paraId="501E3C9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1.3服务质量目标：</w:t>
      </w:r>
      <w:r>
        <w:rPr>
          <w:rFonts w:hint="eastAsia" w:ascii="宋体" w:hAnsi="宋体" w:eastAsia="宋体" w:cs="宋体"/>
          <w:color w:val="auto"/>
          <w:sz w:val="24"/>
          <w:szCs w:val="24"/>
        </w:rPr>
        <w:t>符合国家及行业现行有关规范和标准</w:t>
      </w:r>
      <w:r>
        <w:rPr>
          <w:rFonts w:hint="eastAsia" w:ascii="宋体" w:hAnsi="宋体" w:eastAsia="宋体" w:cs="宋体"/>
          <w:sz w:val="24"/>
          <w:szCs w:val="24"/>
        </w:rPr>
        <w:t>。</w:t>
      </w:r>
    </w:p>
    <w:p w14:paraId="722612A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bCs/>
          <w:sz w:val="24"/>
          <w:szCs w:val="24"/>
          <w:lang w:val="en-US" w:eastAsia="zh-CN"/>
        </w:rPr>
        <w:t>产品技术参数、要求</w:t>
      </w:r>
      <w:r>
        <w:rPr>
          <w:rFonts w:hint="eastAsia" w:ascii="宋体" w:hAnsi="宋体" w:eastAsia="宋体" w:cs="宋体"/>
          <w:bCs/>
          <w:sz w:val="24"/>
          <w:szCs w:val="24"/>
        </w:rPr>
        <w:t>：</w:t>
      </w:r>
    </w:p>
    <w:p w14:paraId="3008FD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1.4.1</w:t>
      </w:r>
      <w:r>
        <w:rPr>
          <w:rFonts w:hint="eastAsia" w:ascii="宋体" w:hAnsi="宋体" w:eastAsia="宋体" w:cs="宋体"/>
          <w:color w:val="auto"/>
          <w:sz w:val="24"/>
          <w:szCs w:val="24"/>
          <w:lang w:val="en-US" w:eastAsia="zh-CN"/>
        </w:rPr>
        <w:t>产品符合行业最新标准QB/T2955-2017。</w:t>
      </w:r>
    </w:p>
    <w:p w14:paraId="32B2BA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1.4.2</w:t>
      </w:r>
      <w:r>
        <w:rPr>
          <w:rFonts w:hint="eastAsia" w:ascii="宋体" w:hAnsi="宋体" w:eastAsia="宋体" w:cs="宋体"/>
          <w:color w:val="auto"/>
          <w:sz w:val="24"/>
          <w:szCs w:val="24"/>
        </w:rPr>
        <w:t>鞋面</w:t>
      </w:r>
      <w:r>
        <w:rPr>
          <w:rFonts w:hint="eastAsia" w:ascii="宋体" w:hAnsi="宋体" w:eastAsia="宋体" w:cs="宋体"/>
          <w:color w:val="auto"/>
          <w:sz w:val="24"/>
          <w:szCs w:val="24"/>
          <w:lang w:val="en-US" w:eastAsia="zh-CN"/>
        </w:rPr>
        <w:t>材质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优质</w:t>
      </w:r>
      <w:r>
        <w:rPr>
          <w:rFonts w:hint="eastAsia" w:ascii="宋体" w:hAnsi="宋体" w:eastAsia="宋体" w:cs="宋体"/>
          <w:color w:val="auto"/>
          <w:sz w:val="24"/>
          <w:szCs w:val="24"/>
        </w:rPr>
        <w:t>头层软</w:t>
      </w:r>
      <w:r>
        <w:rPr>
          <w:rFonts w:hint="eastAsia" w:ascii="宋体" w:hAnsi="宋体" w:eastAsia="宋体" w:cs="宋体"/>
          <w:color w:val="auto"/>
          <w:sz w:val="24"/>
          <w:szCs w:val="24"/>
          <w:lang w:val="en-US" w:eastAsia="zh-CN"/>
        </w:rPr>
        <w:t>牛</w:t>
      </w:r>
      <w:r>
        <w:rPr>
          <w:rFonts w:hint="eastAsia" w:ascii="宋体" w:hAnsi="宋体" w:eastAsia="宋体" w:cs="宋体"/>
          <w:color w:val="auto"/>
          <w:sz w:val="24"/>
          <w:szCs w:val="24"/>
        </w:rPr>
        <w:t>皮</w:t>
      </w:r>
      <w:r>
        <w:rPr>
          <w:rFonts w:hint="eastAsia" w:ascii="宋体" w:hAnsi="宋体" w:eastAsia="宋体" w:cs="宋体"/>
          <w:color w:val="auto"/>
          <w:sz w:val="24"/>
          <w:szCs w:val="24"/>
          <w:lang w:val="en-US" w:eastAsia="zh-CN"/>
        </w:rPr>
        <w:t>。</w:t>
      </w:r>
    </w:p>
    <w:p w14:paraId="2004B3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Cs/>
          <w:sz w:val="24"/>
          <w:szCs w:val="24"/>
          <w:lang w:val="en-US" w:eastAsia="zh-CN"/>
        </w:rPr>
        <w:t>1.4.3</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里：</w:t>
      </w:r>
      <w:r>
        <w:rPr>
          <w:rFonts w:hint="eastAsia" w:ascii="宋体" w:hAnsi="宋体" w:eastAsia="宋体" w:cs="宋体"/>
          <w:color w:val="auto"/>
          <w:sz w:val="24"/>
          <w:szCs w:val="24"/>
          <w:lang w:val="en-US" w:eastAsia="zh-CN"/>
        </w:rPr>
        <w:t>优质</w:t>
      </w:r>
      <w:r>
        <w:rPr>
          <w:rFonts w:hint="eastAsia" w:ascii="宋体" w:hAnsi="宋体" w:eastAsia="宋体" w:cs="宋体"/>
          <w:color w:val="auto"/>
          <w:sz w:val="24"/>
          <w:szCs w:val="24"/>
        </w:rPr>
        <w:t>头层猪皮。</w:t>
      </w:r>
    </w:p>
    <w:p w14:paraId="33BAFC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w:t>
      </w:r>
      <w:r>
        <w:rPr>
          <w:rFonts w:hint="eastAsia" w:ascii="宋体" w:hAnsi="宋体" w:eastAsia="宋体" w:cs="宋体"/>
          <w:color w:val="auto"/>
          <w:sz w:val="24"/>
          <w:szCs w:val="24"/>
        </w:rPr>
        <w:t>鞋垫：</w:t>
      </w:r>
      <w:r>
        <w:rPr>
          <w:rFonts w:hint="eastAsia" w:ascii="宋体" w:hAnsi="宋体" w:eastAsia="宋体" w:cs="宋体"/>
          <w:color w:val="auto"/>
          <w:sz w:val="24"/>
          <w:szCs w:val="24"/>
          <w:lang w:val="en-US" w:eastAsia="zh-CN"/>
        </w:rPr>
        <w:t>需具备吸汗等舒适优点。</w:t>
      </w:r>
      <w:r>
        <w:rPr>
          <w:rFonts w:hint="eastAsia" w:ascii="宋体" w:hAnsi="宋体" w:eastAsia="宋体" w:cs="宋体"/>
          <w:color w:val="auto"/>
          <w:sz w:val="24"/>
          <w:szCs w:val="24"/>
        </w:rPr>
        <w:t>脚弓处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脚掌部位需设计支撑位点与按摩凸点，</w:t>
      </w:r>
      <w:r>
        <w:rPr>
          <w:rFonts w:hint="eastAsia" w:ascii="宋体" w:hAnsi="宋体" w:eastAsia="宋体" w:cs="宋体"/>
          <w:color w:val="auto"/>
          <w:sz w:val="24"/>
          <w:szCs w:val="24"/>
        </w:rPr>
        <w:t>舒缓压力，减轻疲劳。</w:t>
      </w:r>
    </w:p>
    <w:p w14:paraId="292E2EC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1.4.5鞋</w:t>
      </w:r>
      <w:r>
        <w:rPr>
          <w:rFonts w:hint="eastAsia" w:ascii="宋体" w:hAnsi="宋体" w:eastAsia="宋体" w:cs="宋体"/>
          <w:color w:val="auto"/>
          <w:sz w:val="24"/>
          <w:szCs w:val="24"/>
        </w:rPr>
        <w:t>底：</w:t>
      </w:r>
      <w:r>
        <w:rPr>
          <w:rFonts w:hint="eastAsia" w:ascii="宋体" w:hAnsi="宋体" w:eastAsia="宋体" w:cs="宋体"/>
          <w:color w:val="auto"/>
          <w:sz w:val="24"/>
          <w:szCs w:val="24"/>
          <w:lang w:val="en-US" w:eastAsia="zh-CN"/>
        </w:rPr>
        <w:t>高分子弹性橡塑材料或</w:t>
      </w:r>
      <w:r>
        <w:rPr>
          <w:rFonts w:hint="eastAsia" w:ascii="宋体" w:hAnsi="宋体" w:eastAsia="宋体" w:cs="宋体"/>
          <w:color w:val="auto"/>
          <w:sz w:val="24"/>
          <w:szCs w:val="24"/>
        </w:rPr>
        <w:t>EVA</w:t>
      </w:r>
      <w:r>
        <w:rPr>
          <w:rFonts w:hint="eastAsia" w:ascii="宋体" w:hAnsi="宋体" w:eastAsia="宋体" w:cs="宋体"/>
          <w:color w:val="auto"/>
          <w:sz w:val="24"/>
          <w:szCs w:val="24"/>
          <w:lang w:val="en-US" w:eastAsia="zh-CN"/>
        </w:rPr>
        <w:t>气垫底。</w:t>
      </w:r>
      <w:r>
        <w:rPr>
          <w:rFonts w:hint="eastAsia" w:ascii="宋体" w:hAnsi="宋体" w:eastAsia="宋体" w:cs="宋体"/>
          <w:color w:val="auto"/>
          <w:sz w:val="24"/>
          <w:szCs w:val="24"/>
        </w:rPr>
        <w:t>鞋跟高度</w:t>
      </w:r>
      <w:r>
        <w:rPr>
          <w:rFonts w:hint="eastAsia" w:ascii="宋体" w:hAnsi="宋体" w:eastAsia="宋体" w:cs="宋体"/>
          <w:color w:val="auto"/>
          <w:sz w:val="24"/>
          <w:szCs w:val="24"/>
          <w:lang w:val="en-US" w:eastAsia="zh-CN"/>
        </w:rPr>
        <w:t>为4.0</w:t>
      </w:r>
      <w:r>
        <w:rPr>
          <w:rFonts w:hint="eastAsia" w:ascii="宋体" w:hAnsi="宋体" w:eastAsia="宋体" w:cs="宋体"/>
          <w:color w:val="auto"/>
          <w:sz w:val="24"/>
          <w:szCs w:val="24"/>
        </w:rPr>
        <w:t>±0.5cm。</w:t>
      </w:r>
    </w:p>
    <w:p w14:paraId="167620E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1.4.</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制作工艺：胶黏鞋，底部缝线。鞋底与鞋面针线缝制，预防开胶。</w:t>
      </w:r>
    </w:p>
    <w:p w14:paraId="5EA9AE3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1.4.</w:t>
      </w:r>
      <w:r>
        <w:rPr>
          <w:rFonts w:hint="eastAsia" w:ascii="宋体" w:hAnsi="宋体" w:eastAsia="宋体" w:cs="宋体"/>
          <w:color w:val="auto"/>
          <w:sz w:val="24"/>
          <w:szCs w:val="24"/>
        </w:rPr>
        <w:t>7尺码:</w:t>
      </w:r>
      <w:r>
        <w:rPr>
          <w:rFonts w:hint="eastAsia" w:ascii="宋体" w:hAnsi="宋体" w:eastAsia="宋体" w:cs="宋体"/>
          <w:color w:val="auto"/>
          <w:sz w:val="24"/>
          <w:szCs w:val="24"/>
          <w:lang w:val="en-US" w:eastAsia="zh-CN"/>
        </w:rPr>
        <w:t>女款</w:t>
      </w:r>
      <w:r>
        <w:rPr>
          <w:rFonts w:hint="eastAsia" w:ascii="宋体" w:hAnsi="宋体" w:eastAsia="宋体" w:cs="宋体"/>
          <w:color w:val="auto"/>
          <w:sz w:val="24"/>
          <w:szCs w:val="24"/>
        </w:rPr>
        <w:t xml:space="preserve"> 33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码，男款38-45码</w:t>
      </w:r>
      <w:r>
        <w:rPr>
          <w:rFonts w:hint="eastAsia" w:ascii="宋体" w:hAnsi="宋体" w:eastAsia="宋体" w:cs="宋体"/>
          <w:color w:val="auto"/>
          <w:sz w:val="24"/>
          <w:szCs w:val="24"/>
        </w:rPr>
        <w:t>（每个码数中间可提供半码设计）。</w:t>
      </w:r>
    </w:p>
    <w:p w14:paraId="6B04F80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1.4.</w:t>
      </w:r>
      <w:r>
        <w:rPr>
          <w:rFonts w:hint="eastAsia" w:ascii="宋体" w:hAnsi="宋体" w:eastAsia="宋体" w:cs="宋体"/>
          <w:color w:val="auto"/>
          <w:sz w:val="24"/>
          <w:szCs w:val="24"/>
        </w:rPr>
        <w:t>8服务保证：实行三包（包修，包退，换），在一年内因产品发生质量问题（如鞋底断裂，鞋面与鞋底脱胶，鞋面缝线断裂等产品瑕疵），产品无条件退换。</w:t>
      </w:r>
    </w:p>
    <w:p w14:paraId="669D1B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1.5</w:t>
      </w:r>
      <w:r>
        <w:rPr>
          <w:rFonts w:hint="eastAsia" w:ascii="宋体" w:hAnsi="宋体" w:eastAsia="宋体" w:cs="宋体"/>
          <w:color w:val="auto"/>
          <w:sz w:val="24"/>
          <w:szCs w:val="24"/>
        </w:rPr>
        <w:t>货款期：验收合格并收到发票后90个工作日。</w:t>
      </w:r>
    </w:p>
    <w:p w14:paraId="1F76D1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1.6报价和结算</w:t>
      </w:r>
    </w:p>
    <w:p w14:paraId="54773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1.6.1本项目最高限价：</w:t>
      </w:r>
      <w:r>
        <w:rPr>
          <w:rFonts w:hint="eastAsia" w:ascii="宋体" w:hAnsi="宋体" w:eastAsia="宋体" w:cs="宋体"/>
          <w:b/>
          <w:bCs w:val="0"/>
          <w:sz w:val="24"/>
          <w:szCs w:val="24"/>
          <w:u w:val="single"/>
          <w:lang w:val="en-US" w:eastAsia="zh-CN"/>
        </w:rPr>
        <w:t xml:space="preserve"> 66595  </w:t>
      </w:r>
      <w:r>
        <w:rPr>
          <w:rFonts w:hint="eastAsia" w:ascii="宋体" w:hAnsi="宋体" w:eastAsia="宋体" w:cs="宋体"/>
          <w:b/>
          <w:bCs w:val="0"/>
          <w:sz w:val="24"/>
          <w:szCs w:val="24"/>
          <w:lang w:val="en-US" w:eastAsia="zh-CN"/>
        </w:rPr>
        <w:t>元</w:t>
      </w:r>
      <w:r>
        <w:rPr>
          <w:rFonts w:hint="eastAsia" w:ascii="宋体" w:hAnsi="宋体" w:eastAsia="宋体" w:cs="宋体"/>
          <w:b w:val="0"/>
          <w:bCs/>
          <w:sz w:val="24"/>
          <w:szCs w:val="24"/>
          <w:lang w:val="en-US" w:eastAsia="zh-CN"/>
        </w:rPr>
        <w:t>（</w:t>
      </w:r>
      <w:r>
        <w:rPr>
          <w:rFonts w:hint="eastAsia" w:ascii="宋体" w:hAnsi="宋体" w:eastAsia="宋体" w:cs="宋体"/>
          <w:bCs/>
          <w:sz w:val="24"/>
          <w:szCs w:val="24"/>
          <w:lang w:val="en-US" w:eastAsia="zh-CN"/>
        </w:rPr>
        <w:t>95元/双，一共701双）</w:t>
      </w:r>
    </w:p>
    <w:p w14:paraId="7E9A409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sz w:val="24"/>
          <w:szCs w:val="24"/>
          <w:lang w:val="en-US" w:eastAsia="zh-CN"/>
        </w:rPr>
        <w:t>1.6.2</w:t>
      </w:r>
      <w:r>
        <w:rPr>
          <w:rFonts w:hint="eastAsia" w:ascii="宋体" w:hAnsi="宋体" w:eastAsia="宋体" w:cs="宋体"/>
          <w:color w:val="auto"/>
          <w:sz w:val="24"/>
          <w:szCs w:val="24"/>
        </w:rPr>
        <w:t>遴选响应人应根据遴选文件的要求，结合本单位的实际情况考虑后进行一次性报价，遴选人不再支付因遴选响应人漏项或是填写错误而增加的任何费用，总价包含装卸费、保险费、税金等一切费用。</w:t>
      </w:r>
    </w:p>
    <w:p w14:paraId="6F2FB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Cs/>
          <w:sz w:val="24"/>
          <w:szCs w:val="24"/>
          <w:lang w:val="en-US" w:eastAsia="zh-CN"/>
        </w:rPr>
        <w:t>1.7</w:t>
      </w:r>
      <w:bookmarkStart w:id="29" w:name="_Hlk169269332"/>
      <w:r>
        <w:rPr>
          <w:rFonts w:hint="eastAsia" w:ascii="宋体" w:hAnsi="宋体" w:eastAsia="宋体" w:cs="宋体"/>
          <w:b w:val="0"/>
          <w:bCs w:val="0"/>
          <w:sz w:val="24"/>
          <w:szCs w:val="24"/>
          <w:lang w:val="en-US" w:eastAsia="zh-CN"/>
        </w:rPr>
        <w:t>交货</w:t>
      </w:r>
      <w:r>
        <w:rPr>
          <w:rFonts w:hint="eastAsia" w:ascii="宋体" w:hAnsi="宋体" w:eastAsia="宋体" w:cs="宋体"/>
          <w:b w:val="0"/>
          <w:bCs w:val="0"/>
          <w:sz w:val="24"/>
          <w:szCs w:val="24"/>
        </w:rPr>
        <w:t>期</w:t>
      </w:r>
      <w:bookmarkEnd w:id="29"/>
      <w:r>
        <w:rPr>
          <w:rFonts w:hint="eastAsia" w:ascii="宋体" w:hAnsi="宋体" w:eastAsia="宋体" w:cs="宋体"/>
          <w:b w:val="0"/>
          <w:bCs w:val="0"/>
          <w:sz w:val="24"/>
          <w:szCs w:val="24"/>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≤15</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个日历天</w:t>
      </w:r>
      <w:r>
        <w:rPr>
          <w:rFonts w:hint="eastAsia" w:ascii="宋体" w:hAnsi="宋体" w:eastAsia="宋体" w:cs="宋体"/>
          <w:b w:val="0"/>
          <w:bCs w:val="0"/>
          <w:sz w:val="24"/>
          <w:szCs w:val="24"/>
        </w:rPr>
        <w:t>，从合同签订生效之日起开始计算。</w:t>
      </w:r>
    </w:p>
    <w:p w14:paraId="63A2C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1.8货款期：</w:t>
      </w:r>
      <w:r>
        <w:rPr>
          <w:rFonts w:hint="eastAsia" w:ascii="宋体" w:hAnsi="宋体" w:eastAsia="宋体" w:cs="宋体"/>
          <w:color w:val="auto"/>
          <w:sz w:val="24"/>
          <w:szCs w:val="24"/>
        </w:rPr>
        <w:t>验收合格并收到发票后90个工作日。</w:t>
      </w:r>
    </w:p>
    <w:p w14:paraId="3650A594">
      <w:pPr>
        <w:pStyle w:val="6"/>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2．供应商资格要求</w:t>
      </w:r>
      <w:bookmarkEnd w:id="25"/>
      <w:bookmarkEnd w:id="26"/>
      <w:bookmarkEnd w:id="27"/>
      <w:bookmarkEnd w:id="28"/>
    </w:p>
    <w:p w14:paraId="68448A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供应商</w:t>
      </w:r>
      <w:r>
        <w:rPr>
          <w:rFonts w:hint="eastAsia" w:ascii="宋体" w:hAnsi="宋体" w:eastAsia="宋体" w:cs="宋体"/>
          <w:bCs/>
          <w:sz w:val="24"/>
          <w:szCs w:val="24"/>
        </w:rPr>
        <w:t>必须满足以下资格要求中的所有条款，并按照相关规定递交资格证明文件。</w:t>
      </w:r>
    </w:p>
    <w:p w14:paraId="27AA15D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2.1须是中华人民共和国境内注册，具有独立法人资格，企业财务状况良好，依法缴纳税收和社会保障资金,具备承担遴选项目的能力</w:t>
      </w:r>
      <w:r>
        <w:rPr>
          <w:rFonts w:hint="eastAsia" w:ascii="宋体" w:hAnsi="宋体" w:cs="宋体"/>
          <w:bCs/>
          <w:sz w:val="24"/>
          <w:lang w:eastAsia="zh-CN"/>
        </w:rPr>
        <w:t>（</w:t>
      </w:r>
      <w:r>
        <w:rPr>
          <w:rFonts w:hint="eastAsia" w:ascii="宋体" w:hAnsi="宋体" w:eastAsia="宋体"/>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cs="宋体"/>
          <w:bCs/>
          <w:sz w:val="24"/>
          <w:lang w:eastAsia="zh-CN"/>
        </w:rPr>
        <w:t>）</w:t>
      </w:r>
      <w:r>
        <w:rPr>
          <w:rFonts w:hint="eastAsia" w:ascii="宋体" w:hAnsi="宋体" w:cs="宋体"/>
          <w:bCs/>
          <w:sz w:val="24"/>
        </w:rPr>
        <w:t>；</w:t>
      </w:r>
    </w:p>
    <w:p w14:paraId="7C0B8E6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2.2所提供的必须是遴选响应人合法生产或代理的符合国家质量标准、行业标准和专业标准等相关标准的合格产品，并能确保在合同有效期内按照合同中规定的品名、厂家、规格、价格、批号、有效期及时供货；</w:t>
      </w:r>
    </w:p>
    <w:p w14:paraId="602045D2">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不得有商业贿赂和不正当欺诈行为。如遴选响应人被证实有以上行为，将被视为不合格；</w:t>
      </w:r>
    </w:p>
    <w:p w14:paraId="78287A5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具有良好的商业信誉和完善的售后服务体系，并能承担遴选项目</w:t>
      </w:r>
      <w:r>
        <w:rPr>
          <w:rFonts w:hint="eastAsia" w:ascii="宋体" w:hAnsi="宋体" w:eastAsia="宋体" w:cs="宋体"/>
          <w:bCs/>
          <w:sz w:val="24"/>
          <w:szCs w:val="24"/>
          <w:lang w:val="en-US" w:eastAsia="zh-CN"/>
        </w:rPr>
        <w:t>维保</w:t>
      </w:r>
      <w:r>
        <w:rPr>
          <w:rFonts w:hint="eastAsia" w:ascii="宋体" w:hAnsi="宋体" w:eastAsia="宋体" w:cs="宋体"/>
          <w:bCs/>
          <w:sz w:val="24"/>
          <w:szCs w:val="24"/>
        </w:rPr>
        <w:t>能力和服务。</w:t>
      </w:r>
    </w:p>
    <w:p w14:paraId="028E8D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A1F265C">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近三年内参加招投标活动在经营活动中没有重大违法违纪记录；</w:t>
      </w:r>
    </w:p>
    <w:p w14:paraId="158ABC5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如遴选响应人被政府有关部门通报列入黑名单的，禁止参加本项目遴选响应；</w:t>
      </w:r>
    </w:p>
    <w:p w14:paraId="24B925AF">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遴选响应人经营行为必须符合国家法律、法规和有关规定。</w:t>
      </w:r>
    </w:p>
    <w:p w14:paraId="1C99A3FA">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本次遴选不接受联合体遴选响应。</w:t>
      </w:r>
    </w:p>
    <w:p w14:paraId="2D63BC4E">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10</w:t>
      </w:r>
      <w:r>
        <w:rPr>
          <w:rFonts w:hint="eastAsia" w:ascii="宋体" w:hAnsi="宋体" w:eastAsia="宋体" w:cs="宋体"/>
          <w:color w:val="000000"/>
          <w:kern w:val="0"/>
          <w:sz w:val="24"/>
          <w:szCs w:val="24"/>
        </w:rPr>
        <w:t>本次遴选未得到遴选人允许，不得转包、分包，否则取消</w:t>
      </w:r>
      <w:r>
        <w:rPr>
          <w:rFonts w:hint="eastAsia" w:ascii="宋体" w:hAnsi="宋体" w:eastAsia="宋体" w:cs="宋体"/>
          <w:kern w:val="0"/>
          <w:sz w:val="24"/>
          <w:szCs w:val="24"/>
        </w:rPr>
        <w:t>其响应、成交资格，并赔偿遴选人全部损失。</w:t>
      </w:r>
    </w:p>
    <w:p w14:paraId="2620B739">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2.11本项目专门面向中小企业遴选。</w:t>
      </w:r>
    </w:p>
    <w:p w14:paraId="1AFAFB95">
      <w:pPr>
        <w:pStyle w:val="6"/>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30" w:name="_Toc367082517"/>
      <w:bookmarkStart w:id="31" w:name="_Toc202872944"/>
      <w:bookmarkStart w:id="32" w:name="_Toc315688533"/>
      <w:bookmarkStart w:id="33" w:name="_Toc294013655"/>
      <w:r>
        <w:rPr>
          <w:rFonts w:hint="eastAsia" w:ascii="宋体" w:hAnsi="宋体" w:eastAsia="宋体" w:cs="宋体"/>
          <w:b/>
          <w:bCs/>
          <w:sz w:val="24"/>
          <w:szCs w:val="24"/>
        </w:rPr>
        <w:t>3．</w:t>
      </w:r>
      <w:bookmarkEnd w:id="30"/>
      <w:bookmarkEnd w:id="31"/>
      <w:bookmarkEnd w:id="32"/>
      <w:bookmarkEnd w:id="33"/>
      <w:r>
        <w:rPr>
          <w:rFonts w:hint="eastAsia" w:ascii="宋体" w:hAnsi="宋体" w:eastAsia="宋体" w:cs="宋体"/>
          <w:b/>
          <w:bCs/>
          <w:sz w:val="24"/>
          <w:szCs w:val="24"/>
        </w:rPr>
        <w:t>遴选响应资料</w:t>
      </w:r>
    </w:p>
    <w:p w14:paraId="3E3BA52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附件1</w:t>
      </w:r>
      <w:r>
        <w:rPr>
          <w:rFonts w:hint="eastAsia" w:ascii="宋体" w:hAnsi="宋体" w:eastAsia="宋体" w:cs="宋体"/>
          <w:sz w:val="24"/>
          <w:szCs w:val="24"/>
        </w:rPr>
        <w:t>开平市中心医院</w:t>
      </w:r>
      <w:r>
        <w:rPr>
          <w:rFonts w:hint="eastAsia" w:ascii="宋体" w:hAnsi="宋体" w:eastAsia="宋体" w:cs="宋体"/>
          <w:sz w:val="24"/>
          <w:szCs w:val="24"/>
          <w:lang w:val="en-US" w:eastAsia="zh-CN"/>
        </w:rPr>
        <w:t>采购</w:t>
      </w:r>
      <w:r>
        <w:rPr>
          <w:rFonts w:hint="eastAsia" w:ascii="宋体" w:hAnsi="宋体" w:eastAsia="宋体" w:cs="宋体"/>
          <w:sz w:val="24"/>
          <w:szCs w:val="24"/>
        </w:rPr>
        <w:t>项目报名表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一式两份</w:t>
      </w:r>
      <w:r>
        <w:rPr>
          <w:rFonts w:hint="eastAsia" w:ascii="宋体" w:hAnsi="宋体" w:eastAsia="宋体" w:cs="宋体"/>
          <w:sz w:val="24"/>
          <w:szCs w:val="24"/>
          <w:lang w:eastAsia="zh-CN"/>
        </w:rPr>
        <w:t>），</w:t>
      </w:r>
      <w:r>
        <w:rPr>
          <w:rFonts w:hint="eastAsia" w:ascii="宋体" w:hAnsi="宋体" w:eastAsia="宋体" w:cs="宋体"/>
          <w:b w:val="0"/>
          <w:bCs w:val="0"/>
          <w:sz w:val="24"/>
          <w:szCs w:val="24"/>
        </w:rPr>
        <w:t>报名时提交采购</w:t>
      </w:r>
      <w:r>
        <w:rPr>
          <w:rFonts w:hint="eastAsia" w:ascii="宋体" w:hAnsi="宋体" w:eastAsia="宋体" w:cs="宋体"/>
          <w:b w:val="0"/>
          <w:bCs w:val="0"/>
          <w:sz w:val="24"/>
          <w:szCs w:val="24"/>
          <w:lang w:val="en-US" w:eastAsia="zh-CN"/>
        </w:rPr>
        <w:t>人</w:t>
      </w:r>
      <w:r>
        <w:rPr>
          <w:rFonts w:hint="eastAsia" w:ascii="宋体" w:hAnsi="宋体" w:eastAsia="宋体" w:cs="宋体"/>
          <w:b w:val="0"/>
          <w:bCs w:val="0"/>
          <w:sz w:val="24"/>
          <w:szCs w:val="24"/>
        </w:rPr>
        <w:t>审核</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无需与遴选文件一齐密封</w:t>
      </w:r>
      <w:r>
        <w:rPr>
          <w:rFonts w:hint="eastAsia" w:ascii="宋体" w:hAnsi="宋体" w:eastAsia="宋体" w:cs="宋体"/>
          <w:b w:val="0"/>
          <w:bCs w:val="0"/>
          <w:sz w:val="24"/>
          <w:szCs w:val="24"/>
        </w:rPr>
        <w:t>；</w:t>
      </w:r>
    </w:p>
    <w:p w14:paraId="575E693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3.2遴选响应文件（</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w:t>
      </w:r>
      <w:r>
        <w:rPr>
          <w:rFonts w:hint="eastAsia" w:ascii="宋体" w:hAnsi="宋体" w:eastAsia="宋体" w:cs="宋体"/>
          <w:b/>
          <w:sz w:val="24"/>
          <w:szCs w:val="24"/>
        </w:rPr>
        <w:t>,</w:t>
      </w:r>
      <w:r>
        <w:rPr>
          <w:rFonts w:hint="eastAsia" w:ascii="宋体" w:hAnsi="宋体" w:eastAsia="宋体" w:cs="宋体"/>
          <w:sz w:val="24"/>
          <w:szCs w:val="24"/>
        </w:rPr>
        <w:t xml:space="preserve"> 正</w:t>
      </w:r>
      <w:r>
        <w:rPr>
          <w:rFonts w:hint="eastAsia" w:ascii="宋体" w:hAnsi="宋体" w:eastAsia="宋体" w:cs="宋体"/>
          <w:sz w:val="24"/>
          <w:szCs w:val="24"/>
          <w:lang w:eastAsia="zh-CN"/>
        </w:rPr>
        <w:t>、</w:t>
      </w:r>
      <w:r>
        <w:rPr>
          <w:rFonts w:hint="eastAsia" w:ascii="宋体" w:hAnsi="宋体" w:eastAsia="宋体" w:cs="宋体"/>
          <w:sz w:val="24"/>
          <w:szCs w:val="24"/>
        </w:rPr>
        <w:t>副本可一起密封，所有密封封皮上注明产品名称及遴选响应人名称，并加盖骑缝章</w:t>
      </w:r>
    </w:p>
    <w:p w14:paraId="39EAA6E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sz w:val="24"/>
          <w:szCs w:val="24"/>
        </w:rPr>
        <w:t xml:space="preserve"> 以上资料准备完整的供应商方可参加，遴选响应文件和报名表获取方式：本院网站下载。</w:t>
      </w:r>
    </w:p>
    <w:p w14:paraId="4EF3259E">
      <w:pPr>
        <w:pStyle w:val="2"/>
        <w:pageBreakBefore w:val="0"/>
        <w:kinsoku/>
        <w:wordWrap/>
        <w:overflowPunct/>
        <w:topLinePunct w:val="0"/>
        <w:autoSpaceDE/>
        <w:autoSpaceDN/>
        <w:bidi w:val="0"/>
        <w:snapToGrid/>
        <w:spacing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4.资料</w:t>
      </w:r>
      <w:r>
        <w:rPr>
          <w:rFonts w:hint="eastAsia" w:ascii="宋体" w:hAnsi="宋体" w:eastAsia="宋体" w:cs="宋体"/>
          <w:b/>
          <w:sz w:val="24"/>
          <w:szCs w:val="24"/>
          <w:lang w:val="en-US" w:eastAsia="zh-CN"/>
        </w:rPr>
        <w:t>递交</w:t>
      </w:r>
      <w:r>
        <w:rPr>
          <w:rFonts w:hint="eastAsia" w:ascii="宋体" w:hAnsi="宋体" w:eastAsia="宋体" w:cs="宋体"/>
          <w:b/>
          <w:sz w:val="24"/>
          <w:szCs w:val="24"/>
        </w:rPr>
        <w:t>方式</w:t>
      </w:r>
      <w:r>
        <w:rPr>
          <w:rFonts w:hint="eastAsia" w:ascii="宋体" w:hAnsi="宋体" w:eastAsia="宋体" w:cs="宋体"/>
          <w:b/>
          <w:sz w:val="24"/>
          <w:szCs w:val="24"/>
          <w:lang w:eastAsia="zh-CN"/>
        </w:rPr>
        <w:t>、</w:t>
      </w:r>
      <w:r>
        <w:rPr>
          <w:rFonts w:hint="eastAsia" w:ascii="宋体" w:hAnsi="宋体" w:eastAsia="宋体" w:cs="宋体"/>
          <w:b/>
          <w:bCs/>
          <w:sz w:val="24"/>
          <w:szCs w:val="24"/>
        </w:rPr>
        <w:t>时间、地点、</w:t>
      </w:r>
      <w:r>
        <w:rPr>
          <w:rFonts w:hint="eastAsia" w:ascii="宋体" w:hAnsi="宋体" w:eastAsia="宋体" w:cs="宋体"/>
          <w:b/>
          <w:sz w:val="24"/>
          <w:szCs w:val="24"/>
        </w:rPr>
        <w:t>报价</w:t>
      </w:r>
      <w:r>
        <w:rPr>
          <w:rFonts w:hint="eastAsia" w:ascii="宋体" w:hAnsi="宋体" w:eastAsia="宋体" w:cs="宋体"/>
          <w:b/>
          <w:bCs/>
          <w:sz w:val="24"/>
          <w:szCs w:val="24"/>
        </w:rPr>
        <w:t>及</w:t>
      </w:r>
      <w:r>
        <w:rPr>
          <w:rFonts w:hint="eastAsia" w:ascii="宋体" w:hAnsi="宋体" w:eastAsia="宋体" w:cs="宋体"/>
          <w:b/>
          <w:color w:val="000000"/>
          <w:sz w:val="24"/>
          <w:szCs w:val="24"/>
        </w:rPr>
        <w:t>评审办法</w:t>
      </w:r>
      <w:r>
        <w:rPr>
          <w:rFonts w:hint="eastAsia" w:ascii="宋体" w:hAnsi="宋体" w:eastAsia="宋体" w:cs="宋体"/>
          <w:b/>
          <w:bCs/>
          <w:sz w:val="24"/>
          <w:szCs w:val="24"/>
        </w:rPr>
        <w:t>：</w:t>
      </w:r>
    </w:p>
    <w:p w14:paraId="78F1F346">
      <w:pPr>
        <w:pStyle w:val="2"/>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4.1</w:t>
      </w:r>
      <w:r>
        <w:rPr>
          <w:rFonts w:hint="eastAsia" w:ascii="宋体" w:hAnsi="宋体" w:eastAsia="宋体" w:cs="宋体"/>
          <w:sz w:val="24"/>
          <w:szCs w:val="24"/>
          <w:lang w:val="en-US" w:eastAsia="zh-CN"/>
        </w:rPr>
        <w:t>响应文件递交方式：现场提交或邮寄</w:t>
      </w:r>
    </w:p>
    <w:p w14:paraId="5C423B16">
      <w:pPr>
        <w:pStyle w:val="2"/>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highlight w:val="yellow"/>
        </w:rPr>
      </w:pPr>
      <w:r>
        <w:rPr>
          <w:rFonts w:hint="eastAsia" w:ascii="宋体" w:hAnsi="宋体" w:eastAsia="宋体" w:cs="宋体"/>
          <w:sz w:val="24"/>
          <w:szCs w:val="24"/>
          <w:lang w:val="en-US" w:eastAsia="zh-CN"/>
        </w:rPr>
        <w:t>4.2</w:t>
      </w:r>
      <w:r>
        <w:rPr>
          <w:rFonts w:hint="eastAsia" w:ascii="宋体" w:hAnsi="宋体" w:eastAsia="宋体" w:cs="宋体"/>
          <w:sz w:val="24"/>
          <w:szCs w:val="24"/>
        </w:rPr>
        <w:t>时间:</w:t>
      </w:r>
      <w:r>
        <w:rPr>
          <w:rFonts w:hint="eastAsia" w:ascii="宋体" w:hAnsi="宋体" w:eastAsia="宋体" w:cs="宋体"/>
          <w:sz w:val="24"/>
          <w:szCs w:val="24"/>
          <w:highlight w:val="yellow"/>
        </w:rPr>
        <w:t>20</w:t>
      </w:r>
      <w:r>
        <w:rPr>
          <w:rFonts w:hint="eastAsia" w:ascii="宋体" w:hAnsi="宋体" w:eastAsia="宋体" w:cs="宋体"/>
          <w:sz w:val="24"/>
          <w:szCs w:val="24"/>
          <w:highlight w:val="yellow"/>
          <w:lang w:val="en-US" w:eastAsia="zh-CN"/>
        </w:rPr>
        <w:t>25</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8</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28</w:t>
      </w:r>
      <w:r>
        <w:rPr>
          <w:rFonts w:hint="eastAsia" w:ascii="宋体" w:hAnsi="宋体" w:eastAsia="宋体" w:cs="宋体"/>
          <w:sz w:val="24"/>
          <w:szCs w:val="24"/>
          <w:highlight w:val="yellow"/>
        </w:rPr>
        <w:t>日-202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日</w:t>
      </w:r>
    </w:p>
    <w:p w14:paraId="2E6E832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（工作日上午8：30——11:30，下午2:00——5:30）</w:t>
      </w:r>
    </w:p>
    <w:p w14:paraId="4D39F2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地点：广东省开平市长沙街道办事处三江A7区，开平市中心医院张襯</w:t>
      </w:r>
      <w:r>
        <w:rPr>
          <w:rFonts w:hint="eastAsia" w:ascii="宋体" w:hAnsi="宋体" w:eastAsia="宋体" w:cs="宋体"/>
          <w:sz w:val="24"/>
          <w:szCs w:val="24"/>
          <w:lang w:val="en-US" w:eastAsia="zh-CN"/>
        </w:rPr>
        <w:t>大</w:t>
      </w:r>
      <w:r>
        <w:rPr>
          <w:rFonts w:hint="eastAsia" w:ascii="宋体" w:hAnsi="宋体" w:eastAsia="宋体" w:cs="宋体"/>
          <w:sz w:val="24"/>
          <w:szCs w:val="24"/>
        </w:rPr>
        <w:t>楼</w:t>
      </w:r>
      <w:r>
        <w:rPr>
          <w:rFonts w:hint="eastAsia" w:ascii="宋体" w:hAnsi="宋体" w:eastAsia="宋体" w:cs="宋体"/>
          <w:sz w:val="24"/>
          <w:szCs w:val="24"/>
          <w:lang w:val="en-US" w:eastAsia="zh-CN"/>
        </w:rPr>
        <w:t>六楼</w:t>
      </w:r>
      <w:r>
        <w:rPr>
          <w:rFonts w:hint="eastAsia" w:ascii="宋体" w:hAnsi="宋体" w:eastAsia="宋体" w:cs="宋体"/>
          <w:sz w:val="24"/>
          <w:szCs w:val="24"/>
        </w:rPr>
        <w:t>后勤股</w:t>
      </w:r>
    </w:p>
    <w:p w14:paraId="0A47BD8A">
      <w:pPr>
        <w:pStyle w:val="2"/>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（邮寄收件人：</w:t>
      </w:r>
      <w:r>
        <w:rPr>
          <w:rFonts w:hint="eastAsia" w:ascii="宋体" w:hAnsi="宋体" w:eastAsia="宋体" w:cs="宋体"/>
          <w:color w:val="000000"/>
          <w:sz w:val="24"/>
          <w:szCs w:val="24"/>
        </w:rPr>
        <w:t>龚小姐，电话：15917318304</w:t>
      </w:r>
      <w:r>
        <w:rPr>
          <w:rFonts w:hint="eastAsia" w:ascii="宋体" w:hAnsi="宋体" w:eastAsia="宋体" w:cs="宋体"/>
          <w:sz w:val="24"/>
          <w:szCs w:val="24"/>
        </w:rPr>
        <w:t>）</w:t>
      </w:r>
    </w:p>
    <w:p w14:paraId="6FD8850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报价方式：</w:t>
      </w:r>
    </w:p>
    <w:p w14:paraId="7EFA6D5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遴选响应人应根据遴选文件的要求，结合本单位的实际情况考虑后进行一次性报价，遴选人不再支付因遴选响应人漏项或是填写错误而增加的任何费用，总价包含装卸费、保险费、税金等一切费用。</w:t>
      </w:r>
    </w:p>
    <w:p w14:paraId="40D2467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评审办法：</w:t>
      </w:r>
      <w:r>
        <w:rPr>
          <w:rFonts w:hint="eastAsia" w:ascii="宋体" w:hAnsi="宋体" w:eastAsia="宋体" w:cs="宋体"/>
          <w:color w:val="000000"/>
          <w:sz w:val="24"/>
          <w:szCs w:val="24"/>
          <w:lang w:val="en-US" w:eastAsia="zh-CN"/>
        </w:rPr>
        <w:t>综合评分</w:t>
      </w:r>
      <w:r>
        <w:rPr>
          <w:rFonts w:hint="eastAsia" w:ascii="宋体" w:hAnsi="宋体" w:eastAsia="宋体" w:cs="宋体"/>
          <w:color w:val="000000"/>
          <w:sz w:val="24"/>
          <w:szCs w:val="24"/>
          <w:lang w:eastAsia="zh-CN"/>
        </w:rPr>
        <w:t>法</w:t>
      </w:r>
    </w:p>
    <w:p w14:paraId="782740E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遴选结果：</w:t>
      </w:r>
      <w:r>
        <w:rPr>
          <w:rFonts w:hint="eastAsia" w:ascii="宋体" w:hAnsi="宋体" w:eastAsia="宋体" w:cs="宋体"/>
          <w:sz w:val="24"/>
          <w:szCs w:val="24"/>
        </w:rPr>
        <w:t>开平市中心医院官网公示</w:t>
      </w:r>
    </w:p>
    <w:p w14:paraId="104B9E65">
      <w:pPr>
        <w:pStyle w:val="227"/>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5.本次遴选相关事宜联系：</w:t>
      </w:r>
    </w:p>
    <w:p w14:paraId="4E4504B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龚小姐，电话：</w:t>
      </w:r>
      <w:r>
        <w:rPr>
          <w:rFonts w:hint="eastAsia" w:ascii="宋体" w:hAnsi="宋体" w:eastAsia="宋体" w:cs="宋体"/>
          <w:color w:val="000000"/>
          <w:sz w:val="24"/>
          <w:szCs w:val="24"/>
          <w:lang w:val="en-US" w:eastAsia="zh-CN"/>
        </w:rPr>
        <w:t>2371848</w:t>
      </w:r>
    </w:p>
    <w:p w14:paraId="0641BC26">
      <w:pPr>
        <w:pStyle w:val="6"/>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6.报名须知</w:t>
      </w:r>
    </w:p>
    <w:p w14:paraId="4B8CFBC9">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6.1 本次遴选项目接受现场资料递交或邮寄。</w:t>
      </w:r>
    </w:p>
    <w:p w14:paraId="5F4A721A">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6.2 违反《遴选响应承诺函》内容的单位及授权人视为失信人，失信人将列为黑名单，取消其响应开平市中心医院所有项目的资格。</w:t>
      </w:r>
    </w:p>
    <w:p w14:paraId="716B737F">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6.3其他视为失信人的情况：</w:t>
      </w:r>
    </w:p>
    <w:p w14:paraId="2514A20E">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（1）无故不参与响应或未按时响应的三次及以上；</w:t>
      </w:r>
    </w:p>
    <w:p w14:paraId="3CC0E3D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（2）撤销遴选响应未在遴选响应截止前24小时内以书面形式通知遴选人三次及以上的；</w:t>
      </w:r>
    </w:p>
    <w:p w14:paraId="24CCC20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（3）遴选响应文件出现严重错误给遴选工作带来影响三次及以上的。</w:t>
      </w:r>
    </w:p>
    <w:p w14:paraId="3D7CBDCD">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6.4 报名不足3家供应商时，将依据《开平市中心医院采购管理办法》调整采购方式。</w:t>
      </w:r>
    </w:p>
    <w:p w14:paraId="735F858B">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7.注意事项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B654830">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7.1超过遴选产品最高限价按响应无效处理。</w:t>
      </w:r>
    </w:p>
    <w:p w14:paraId="1BD7498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7.2无法提供样品的按响应无效处理。</w:t>
      </w:r>
    </w:p>
    <w:p w14:paraId="55E1EB2E">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b/>
          <w:bCs/>
          <w:sz w:val="24"/>
          <w:szCs w:val="24"/>
        </w:rPr>
        <w:t>.</w:t>
      </w:r>
      <w:r>
        <w:rPr>
          <w:rFonts w:hint="eastAsia" w:ascii="宋体" w:hAnsi="宋体" w:eastAsia="宋体" w:cs="宋体"/>
          <w:b/>
          <w:sz w:val="24"/>
          <w:szCs w:val="24"/>
        </w:rPr>
        <w:t>遴选响应文件的制作、装订、密封、标记</w:t>
      </w:r>
    </w:p>
    <w:p w14:paraId="44D75F0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8.1 遴选响应文件必须左侧胶装，不接受其他装订方式</w:t>
      </w:r>
      <w:r>
        <w:rPr>
          <w:rFonts w:hint="eastAsia" w:ascii="宋体" w:hAnsi="宋体" w:eastAsia="宋体" w:cs="宋体"/>
          <w:color w:val="000000"/>
          <w:sz w:val="24"/>
          <w:szCs w:val="24"/>
        </w:rPr>
        <w:t>。</w:t>
      </w:r>
    </w:p>
    <w:p w14:paraId="2DAA4B5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8.2 遴选响应文件份数：</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，并在遴选响应文件右上角处明显标注“正本或副本”字样。</w:t>
      </w:r>
    </w:p>
    <w:p w14:paraId="5F4C04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8.3将遴选响应文件中所需的文件按照顺序进行装订，副本可为正本复印件。</w:t>
      </w:r>
    </w:p>
    <w:p w14:paraId="051CCC3A">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8.4 正</w:t>
      </w:r>
      <w:r>
        <w:rPr>
          <w:rFonts w:hint="eastAsia" w:ascii="宋体" w:hAnsi="宋体" w:eastAsia="宋体" w:cs="宋体"/>
          <w:sz w:val="24"/>
          <w:szCs w:val="24"/>
          <w:lang w:eastAsia="zh-CN"/>
        </w:rPr>
        <w:t>、</w:t>
      </w:r>
      <w:r>
        <w:rPr>
          <w:rFonts w:hint="eastAsia" w:ascii="宋体" w:hAnsi="宋体" w:eastAsia="宋体" w:cs="宋体"/>
          <w:sz w:val="24"/>
          <w:szCs w:val="24"/>
        </w:rPr>
        <w:t>副本可一起密封，所有密封封皮上注明产品名称及遴选响应人名称，并加盖骑缝章。</w:t>
      </w:r>
    </w:p>
    <w:p w14:paraId="0F78571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8.5 以上所需文件正本均需逐页加盖遴选响应人公章（红章），副本可为正本复印件,封面须盖公章。</w:t>
      </w:r>
    </w:p>
    <w:p w14:paraId="53B29074">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8.6 所有密封口处均应用封条密封并加盖遴选响应人公章和法定代表人或其委托代理人印章或签字，并注明“</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日</w:t>
      </w:r>
      <w:r>
        <w:rPr>
          <w:rFonts w:hint="eastAsia" w:ascii="宋体" w:hAnsi="宋体" w:eastAsia="宋体" w:cs="宋体"/>
          <w:sz w:val="24"/>
          <w:szCs w:val="24"/>
          <w:highlight w:val="none"/>
        </w:rPr>
        <w:t>前不准启封”的字样。</w:t>
      </w:r>
    </w:p>
    <w:p w14:paraId="11F95E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备注：遴选响应文件中的格式文件，请遴选响应人必须按照遴选文件提供的格式文件进行提供，不得进行修改、涂抹、删除等，否则将按响应无效处理。</w:t>
      </w:r>
    </w:p>
    <w:p w14:paraId="789DBC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p>
    <w:p w14:paraId="53DDA10A">
      <w:pPr>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开平市中心医院</w:t>
      </w:r>
    </w:p>
    <w:p w14:paraId="11A6FAE9">
      <w:pPr>
        <w:pageBreakBefore w:val="0"/>
        <w:kinsoku/>
        <w:wordWrap/>
        <w:overflowPunct/>
        <w:topLinePunct w:val="0"/>
        <w:autoSpaceDE/>
        <w:autoSpaceDN/>
        <w:bidi w:val="0"/>
        <w:snapToGrid/>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w:t>
      </w:r>
    </w:p>
    <w:p w14:paraId="4E830B66">
      <w:pPr>
        <w:spacing w:line="360" w:lineRule="auto"/>
        <w:ind w:left="160"/>
        <w:jc w:val="right"/>
        <w:rPr>
          <w:rFonts w:ascii="Times New Roman"/>
          <w:sz w:val="36"/>
          <w:szCs w:val="28"/>
        </w:rPr>
      </w:pPr>
      <w:r>
        <w:br w:type="page"/>
      </w:r>
      <w:bookmarkEnd w:id="16"/>
      <w:bookmarkEnd w:id="17"/>
      <w:bookmarkEnd w:id="18"/>
      <w:bookmarkEnd w:id="19"/>
      <w:bookmarkEnd w:id="20"/>
      <w:bookmarkEnd w:id="21"/>
      <w:bookmarkEnd w:id="22"/>
      <w:bookmarkEnd w:id="23"/>
      <w:bookmarkEnd w:id="24"/>
      <w:bookmarkStart w:id="34" w:name="_Toc52027886"/>
      <w:bookmarkStart w:id="35" w:name="_Toc56352971"/>
      <w:bookmarkStart w:id="36" w:name="_Toc51756452"/>
      <w:bookmarkStart w:id="37" w:name="_Toc52021499"/>
      <w:bookmarkStart w:id="38" w:name="_Toc51939417"/>
      <w:bookmarkStart w:id="39" w:name="_Toc458262598"/>
      <w:bookmarkStart w:id="40" w:name="_Toc486671527"/>
      <w:bookmarkStart w:id="41" w:name="_Toc467236723"/>
      <w:bookmarkStart w:id="42" w:name="_Toc169861813"/>
      <w:bookmarkStart w:id="43" w:name="_Toc476976155"/>
    </w:p>
    <w:p w14:paraId="53445917">
      <w:pPr>
        <w:pStyle w:val="3"/>
        <w:keepNext w:val="0"/>
        <w:keepLines w:val="0"/>
        <w:spacing w:before="0" w:after="0" w:line="360" w:lineRule="auto"/>
        <w:jc w:val="center"/>
        <w:rPr>
          <w:rFonts w:ascii="Times New Roman"/>
          <w:sz w:val="36"/>
          <w:szCs w:val="28"/>
        </w:rPr>
      </w:pPr>
      <w:r>
        <w:rPr>
          <w:rFonts w:ascii="Times New Roman"/>
          <w:sz w:val="36"/>
          <w:szCs w:val="28"/>
        </w:rPr>
        <w:t>第</w:t>
      </w:r>
      <w:r>
        <w:rPr>
          <w:rFonts w:hint="eastAsia" w:ascii="Times New Roman"/>
          <w:sz w:val="36"/>
          <w:szCs w:val="28"/>
          <w:lang w:val="en-US" w:eastAsia="zh-CN"/>
        </w:rPr>
        <w:t>二</w:t>
      </w:r>
      <w:r>
        <w:rPr>
          <w:rFonts w:ascii="Times New Roman"/>
          <w:sz w:val="36"/>
          <w:szCs w:val="28"/>
        </w:rPr>
        <w:t>部分</w:t>
      </w:r>
      <w:bookmarkEnd w:id="34"/>
      <w:bookmarkEnd w:id="35"/>
      <w:bookmarkEnd w:id="36"/>
      <w:bookmarkEnd w:id="37"/>
      <w:bookmarkEnd w:id="38"/>
      <w:r>
        <w:rPr>
          <w:rFonts w:ascii="Times New Roman"/>
          <w:sz w:val="36"/>
          <w:szCs w:val="28"/>
        </w:rPr>
        <w:t xml:space="preserve">  供应商须知</w:t>
      </w:r>
      <w:bookmarkEnd w:id="39"/>
      <w:bookmarkEnd w:id="40"/>
      <w:bookmarkEnd w:id="41"/>
      <w:bookmarkEnd w:id="42"/>
      <w:bookmarkEnd w:id="43"/>
    </w:p>
    <w:p w14:paraId="114CF083">
      <w:pPr>
        <w:pStyle w:val="4"/>
        <w:keepNext w:val="0"/>
        <w:keepLines w:val="0"/>
        <w:spacing w:before="120" w:beforeLines="50" w:after="0" w:line="360" w:lineRule="auto"/>
        <w:jc w:val="center"/>
        <w:rPr>
          <w:rFonts w:ascii="Times New Roman" w:hAnsi="Times New Roman" w:eastAsia="宋体"/>
          <w:sz w:val="24"/>
          <w:szCs w:val="21"/>
        </w:rPr>
      </w:pPr>
      <w:bookmarkStart w:id="44" w:name="_Toc466786434"/>
      <w:bookmarkStart w:id="45" w:name="_Toc102277756"/>
      <w:bookmarkStart w:id="46" w:name="_Toc6882675"/>
      <w:bookmarkStart w:id="47" w:name="_Toc6968687"/>
      <w:bookmarkStart w:id="48" w:name="_Toc507407359"/>
      <w:bookmarkStart w:id="49" w:name="_Toc169861814"/>
      <w:bookmarkStart w:id="50" w:name="_Toc479991566"/>
      <w:bookmarkStart w:id="51" w:name="_Toc468157520"/>
      <w:bookmarkStart w:id="52" w:name="_Toc480010692"/>
      <w:bookmarkStart w:id="53" w:name="_Toc480020241"/>
      <w:bookmarkStart w:id="54" w:name="_Toc480021037"/>
      <w:bookmarkStart w:id="55" w:name="_Toc458262599"/>
      <w:bookmarkStart w:id="56" w:name="_Toc467987807"/>
      <w:bookmarkStart w:id="57" w:name="_Toc48207756"/>
      <w:bookmarkStart w:id="58" w:name="_Toc467236724"/>
      <w:bookmarkStart w:id="59" w:name="_Toc480171863"/>
      <w:bookmarkStart w:id="60" w:name="_Toc468606013"/>
      <w:r>
        <w:rPr>
          <w:rFonts w:ascii="Times New Roman" w:hAnsi="Times New Roman" w:eastAsia="宋体"/>
          <w:sz w:val="24"/>
          <w:szCs w:val="21"/>
        </w:rPr>
        <w:t>一、说  明</w:t>
      </w:r>
      <w:bookmarkEnd w:id="44"/>
      <w:bookmarkEnd w:id="45"/>
      <w:bookmarkEnd w:id="46"/>
      <w:bookmarkEnd w:id="47"/>
      <w:bookmarkEnd w:id="48"/>
      <w:bookmarkEnd w:id="49"/>
    </w:p>
    <w:p w14:paraId="009F87BD">
      <w:pPr>
        <w:pStyle w:val="6"/>
        <w:keepNext w:val="0"/>
        <w:keepLines w:val="0"/>
        <w:adjustRightInd/>
        <w:spacing w:before="0" w:after="0" w:line="360" w:lineRule="auto"/>
        <w:ind w:firstLine="482" w:firstLineChars="200"/>
        <w:rPr>
          <w:rFonts w:ascii="Times New Roman"/>
          <w:b w:val="0"/>
          <w:sz w:val="24"/>
          <w:szCs w:val="21"/>
        </w:rPr>
      </w:pPr>
      <w:bookmarkStart w:id="61" w:name="_Toc475249114"/>
      <w:r>
        <w:rPr>
          <w:rFonts w:ascii="Times New Roman"/>
          <w:sz w:val="24"/>
          <w:szCs w:val="21"/>
        </w:rPr>
        <w:t>1.适用范围</w:t>
      </w:r>
      <w:bookmarkEnd w:id="61"/>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6"/>
        <w:keepNext w:val="0"/>
        <w:keepLines w:val="0"/>
        <w:adjustRightInd/>
        <w:spacing w:before="0" w:after="0" w:line="360" w:lineRule="auto"/>
        <w:ind w:firstLine="482" w:firstLineChars="200"/>
        <w:rPr>
          <w:rFonts w:ascii="Times New Roman"/>
          <w:b w:val="0"/>
          <w:sz w:val="24"/>
          <w:szCs w:val="21"/>
        </w:rPr>
      </w:pPr>
      <w:bookmarkStart w:id="62" w:name="_Toc475249115"/>
      <w:r>
        <w:rPr>
          <w:rFonts w:ascii="Times New Roman"/>
          <w:sz w:val="24"/>
          <w:szCs w:val="21"/>
        </w:rPr>
        <w:t>2.定义</w:t>
      </w:r>
      <w:bookmarkEnd w:id="62"/>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6"/>
        <w:keepNext w:val="0"/>
        <w:keepLines w:val="0"/>
        <w:adjustRightInd/>
        <w:spacing w:before="0" w:after="0" w:line="360" w:lineRule="auto"/>
        <w:ind w:firstLine="482" w:firstLineChars="200"/>
        <w:rPr>
          <w:rFonts w:ascii="Times New Roman"/>
          <w:sz w:val="24"/>
          <w:szCs w:val="21"/>
        </w:rPr>
      </w:pPr>
      <w:bookmarkStart w:id="63" w:name="_Toc110953831"/>
      <w:bookmarkStart w:id="64" w:name="_Toc102277757"/>
      <w:bookmarkStart w:id="65" w:name="_Toc466786435"/>
      <w:bookmarkStart w:id="66" w:name="_Toc6968688"/>
      <w:bookmarkStart w:id="67" w:name="_Toc6882676"/>
      <w:bookmarkStart w:id="68" w:name="_Toc507407360"/>
      <w:r>
        <w:rPr>
          <w:rFonts w:ascii="Times New Roman"/>
          <w:sz w:val="24"/>
          <w:szCs w:val="21"/>
        </w:rPr>
        <w:t>3.适用法律</w:t>
      </w:r>
      <w:bookmarkEnd w:id="63"/>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6"/>
        <w:keepNext w:val="0"/>
        <w:keepLines w:val="0"/>
        <w:adjustRightInd/>
        <w:spacing w:before="0" w:after="0" w:line="360" w:lineRule="auto"/>
        <w:ind w:firstLine="482" w:firstLineChars="200"/>
        <w:rPr>
          <w:rFonts w:ascii="Times New Roman"/>
          <w:b w:val="0"/>
          <w:sz w:val="24"/>
          <w:szCs w:val="21"/>
        </w:rPr>
      </w:pPr>
      <w:bookmarkStart w:id="69" w:name="_Toc110953832"/>
      <w:r>
        <w:rPr>
          <w:rFonts w:ascii="Times New Roman"/>
          <w:sz w:val="24"/>
          <w:szCs w:val="21"/>
        </w:rPr>
        <w:t>4.知识产权</w:t>
      </w:r>
      <w:bookmarkEnd w:id="69"/>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6"/>
        <w:keepNext w:val="0"/>
        <w:keepLines w:val="0"/>
        <w:adjustRightInd/>
        <w:spacing w:before="0" w:after="0" w:line="360" w:lineRule="auto"/>
        <w:ind w:firstLine="482" w:firstLineChars="200"/>
        <w:rPr>
          <w:rFonts w:ascii="Times New Roman"/>
          <w:b w:val="0"/>
          <w:bCs/>
          <w:sz w:val="24"/>
          <w:szCs w:val="21"/>
        </w:rPr>
      </w:pPr>
      <w:bookmarkStart w:id="70" w:name="_Toc110953833"/>
      <w:r>
        <w:rPr>
          <w:rFonts w:ascii="Times New Roman"/>
          <w:sz w:val="24"/>
          <w:szCs w:val="21"/>
        </w:rPr>
        <w:t>5.禁止事项</w:t>
      </w:r>
      <w:bookmarkEnd w:id="70"/>
    </w:p>
    <w:p w14:paraId="26A3EC24">
      <w:pPr>
        <w:spacing w:line="360" w:lineRule="auto"/>
        <w:ind w:firstLine="480" w:firstLineChars="200"/>
        <w:rPr>
          <w:rFonts w:eastAsia="宋体"/>
          <w:sz w:val="24"/>
          <w:szCs w:val="21"/>
        </w:rPr>
      </w:pPr>
      <w:bookmarkStart w:id="71" w:name="_Toc98126293"/>
      <w:bookmarkStart w:id="72" w:name="_Toc98126218"/>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71"/>
      <w:bookmarkEnd w:id="72"/>
    </w:p>
    <w:p w14:paraId="58FCBE74">
      <w:pPr>
        <w:spacing w:line="360" w:lineRule="auto"/>
        <w:ind w:firstLine="480" w:firstLineChars="200"/>
        <w:rPr>
          <w:rFonts w:eastAsia="宋体"/>
          <w:sz w:val="24"/>
          <w:szCs w:val="21"/>
        </w:rPr>
      </w:pPr>
      <w:bookmarkStart w:id="73" w:name="_Toc98126294"/>
      <w:bookmarkStart w:id="74" w:name="_Toc98126219"/>
      <w:r>
        <w:rPr>
          <w:rFonts w:eastAsia="宋体"/>
          <w:sz w:val="24"/>
          <w:szCs w:val="21"/>
        </w:rPr>
        <w:t>5.</w:t>
      </w:r>
      <w:bookmarkEnd w:id="73"/>
      <w:bookmarkEnd w:id="74"/>
      <w:bookmarkStart w:id="75" w:name="_Toc98126295"/>
      <w:bookmarkStart w:id="76" w:name="_Toc98126220"/>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75"/>
      <w:bookmarkEnd w:id="76"/>
    </w:p>
    <w:p w14:paraId="78731B5B">
      <w:pPr>
        <w:pStyle w:val="6"/>
        <w:keepNext w:val="0"/>
        <w:keepLines w:val="0"/>
        <w:adjustRightInd/>
        <w:spacing w:before="0" w:after="0" w:line="360" w:lineRule="auto"/>
        <w:ind w:firstLine="482" w:firstLineChars="200"/>
        <w:rPr>
          <w:rFonts w:ascii="Times New Roman"/>
          <w:b w:val="0"/>
          <w:bCs/>
          <w:sz w:val="24"/>
          <w:szCs w:val="21"/>
        </w:rPr>
      </w:pPr>
      <w:bookmarkStart w:id="77" w:name="_Toc110953834"/>
      <w:r>
        <w:rPr>
          <w:rFonts w:ascii="Times New Roman"/>
          <w:sz w:val="24"/>
          <w:szCs w:val="21"/>
        </w:rPr>
        <w:t>6.保密及其它注意事项</w:t>
      </w:r>
      <w:bookmarkEnd w:id="77"/>
    </w:p>
    <w:p w14:paraId="5F90EB83">
      <w:pPr>
        <w:spacing w:line="360" w:lineRule="auto"/>
        <w:ind w:firstLine="480" w:firstLineChars="200"/>
        <w:rPr>
          <w:rFonts w:eastAsia="宋体"/>
          <w:sz w:val="24"/>
          <w:szCs w:val="21"/>
        </w:rPr>
      </w:pPr>
      <w:bookmarkStart w:id="78" w:name="_Toc98126222"/>
      <w:bookmarkStart w:id="79" w:name="_Toc98126297"/>
      <w:r>
        <w:rPr>
          <w:rFonts w:eastAsia="宋体"/>
          <w:sz w:val="24"/>
          <w:szCs w:val="21"/>
        </w:rPr>
        <w:t>6.1凡参与采购工作的有关人员均应自觉接受有关主管部门的监督，不得向他人透露可能影响公平竞争的有关情况。</w:t>
      </w:r>
      <w:bookmarkEnd w:id="78"/>
      <w:bookmarkEnd w:id="79"/>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6"/>
        <w:keepNext w:val="0"/>
        <w:keepLines w:val="0"/>
        <w:adjustRightInd/>
        <w:spacing w:before="0" w:after="0" w:line="360" w:lineRule="auto"/>
        <w:ind w:firstLine="482" w:firstLineChars="200"/>
        <w:rPr>
          <w:rFonts w:ascii="Times New Roman"/>
          <w:sz w:val="24"/>
          <w:szCs w:val="21"/>
        </w:rPr>
      </w:pPr>
      <w:bookmarkStart w:id="80" w:name="_Toc497016085"/>
      <w:r>
        <w:rPr>
          <w:rFonts w:ascii="Times New Roman"/>
          <w:sz w:val="24"/>
          <w:szCs w:val="21"/>
        </w:rPr>
        <w:t>7. 供应商诚信管理</w:t>
      </w:r>
      <w:bookmarkEnd w:id="80"/>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4"/>
        <w:keepNext w:val="0"/>
        <w:keepLines w:val="0"/>
        <w:adjustRightInd/>
        <w:spacing w:before="0" w:after="0" w:line="360" w:lineRule="auto"/>
        <w:ind w:firstLine="482" w:firstLineChars="200"/>
        <w:jc w:val="center"/>
        <w:rPr>
          <w:rFonts w:ascii="Times New Roman" w:hAnsi="Times New Roman" w:eastAsia="宋体"/>
          <w:sz w:val="24"/>
          <w:szCs w:val="21"/>
        </w:rPr>
      </w:pPr>
      <w:bookmarkStart w:id="81"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64"/>
      <w:bookmarkEnd w:id="65"/>
      <w:bookmarkEnd w:id="66"/>
      <w:bookmarkEnd w:id="67"/>
      <w:bookmarkEnd w:id="68"/>
      <w:bookmarkEnd w:id="81"/>
    </w:p>
    <w:p w14:paraId="5A96B68E">
      <w:pPr>
        <w:pStyle w:val="6"/>
        <w:keepNext w:val="0"/>
        <w:keepLines w:val="0"/>
        <w:adjustRightInd/>
        <w:spacing w:before="0" w:after="0" w:line="360" w:lineRule="auto"/>
        <w:ind w:firstLine="482" w:firstLineChars="200"/>
        <w:rPr>
          <w:rFonts w:ascii="Times New Roman"/>
          <w:sz w:val="24"/>
          <w:szCs w:val="21"/>
        </w:rPr>
      </w:pPr>
      <w:bookmarkStart w:id="82" w:name="_Toc110953836"/>
      <w:bookmarkStart w:id="83" w:name="_Toc507407361"/>
      <w:bookmarkStart w:id="84" w:name="_Toc6882677"/>
      <w:bookmarkStart w:id="85" w:name="_Toc466786436"/>
      <w:bookmarkStart w:id="86" w:name="_Toc6968689"/>
      <w:bookmarkStart w:id="87" w:name="_Toc102277758"/>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82"/>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6"/>
        <w:keepNext w:val="0"/>
        <w:keepLines w:val="0"/>
        <w:adjustRightInd/>
        <w:spacing w:before="0" w:after="0" w:line="360" w:lineRule="auto"/>
        <w:ind w:firstLine="482" w:firstLineChars="200"/>
        <w:rPr>
          <w:rFonts w:ascii="Times New Roman"/>
          <w:sz w:val="24"/>
          <w:szCs w:val="21"/>
        </w:rPr>
      </w:pPr>
      <w:bookmarkStart w:id="88"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88"/>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83"/>
      <w:bookmarkEnd w:id="84"/>
      <w:bookmarkEnd w:id="85"/>
      <w:bookmarkEnd w:id="86"/>
      <w:bookmarkEnd w:id="87"/>
      <w:bookmarkStart w:id="89" w:name="_Toc110953838"/>
      <w:bookmarkStart w:id="90" w:name="_Toc102277759"/>
      <w:bookmarkStart w:id="91" w:name="_Toc507407362"/>
      <w:bookmarkStart w:id="92" w:name="_Toc6882678"/>
      <w:bookmarkStart w:id="93" w:name="_Toc6968690"/>
      <w:bookmarkStart w:id="94" w:name="_Toc466786437"/>
    </w:p>
    <w:p w14:paraId="182566E8">
      <w:pPr>
        <w:spacing w:line="360" w:lineRule="auto"/>
      </w:pPr>
    </w:p>
    <w:p w14:paraId="2158156B">
      <w:pPr>
        <w:pStyle w:val="4"/>
        <w:keepNext w:val="0"/>
        <w:keepLines w:val="0"/>
        <w:adjustRightInd/>
        <w:spacing w:before="0" w:after="0" w:line="360" w:lineRule="auto"/>
        <w:ind w:firstLine="482" w:firstLineChars="200"/>
        <w:jc w:val="center"/>
        <w:rPr>
          <w:rFonts w:ascii="Times New Roman" w:hAnsi="Times New Roman" w:eastAsia="宋体"/>
          <w:sz w:val="24"/>
          <w:szCs w:val="21"/>
        </w:rPr>
      </w:pPr>
      <w:bookmarkStart w:id="95" w:name="_Toc169861816"/>
      <w:r>
        <w:rPr>
          <w:rFonts w:ascii="Times New Roman" w:hAnsi="Times New Roman" w:eastAsia="宋体"/>
          <w:sz w:val="24"/>
          <w:szCs w:val="21"/>
        </w:rPr>
        <w:t>三、响应文件的制作</w:t>
      </w:r>
      <w:bookmarkEnd w:id="89"/>
      <w:bookmarkEnd w:id="95"/>
    </w:p>
    <w:p w14:paraId="07F7C497">
      <w:pPr>
        <w:pStyle w:val="6"/>
        <w:keepNext w:val="0"/>
        <w:keepLines w:val="0"/>
        <w:adjustRightInd/>
        <w:spacing w:before="0" w:after="0" w:line="480" w:lineRule="exact"/>
        <w:ind w:firstLine="482" w:firstLineChars="200"/>
        <w:rPr>
          <w:rFonts w:hAnsi="宋体"/>
          <w:sz w:val="24"/>
          <w:szCs w:val="21"/>
        </w:rPr>
      </w:pPr>
      <w:bookmarkStart w:id="96" w:name="_Toc97109974"/>
      <w:bookmarkStart w:id="97" w:name="_Toc96940314"/>
      <w:bookmarkStart w:id="98" w:name="_Toc110953839"/>
      <w:bookmarkStart w:id="99" w:name="_Toc97112225"/>
      <w:bookmarkStart w:id="100" w:name="_Toc96934186"/>
      <w:bookmarkStart w:id="101" w:name="_Toc110953840"/>
      <w:r>
        <w:rPr>
          <w:rFonts w:hAnsi="宋体"/>
          <w:sz w:val="24"/>
          <w:szCs w:val="21"/>
        </w:rPr>
        <w:t>10.制作要求</w:t>
      </w:r>
      <w:bookmarkEnd w:id="96"/>
      <w:bookmarkEnd w:id="97"/>
      <w:bookmarkEnd w:id="98"/>
      <w:bookmarkEnd w:id="99"/>
      <w:bookmarkEnd w:id="100"/>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01"/>
    <w:p w14:paraId="0ED8019F">
      <w:pPr>
        <w:pStyle w:val="6"/>
        <w:keepNext w:val="0"/>
        <w:keepLines w:val="0"/>
        <w:adjustRightInd/>
        <w:spacing w:before="0" w:after="0" w:line="480" w:lineRule="exact"/>
        <w:ind w:firstLine="482" w:firstLineChars="200"/>
        <w:rPr>
          <w:rFonts w:hAnsi="宋体"/>
          <w:sz w:val="24"/>
          <w:szCs w:val="21"/>
        </w:rPr>
      </w:pPr>
      <w:bookmarkStart w:id="102" w:name="_Toc96940315"/>
      <w:bookmarkStart w:id="103" w:name="_Toc96934187"/>
      <w:bookmarkStart w:id="104" w:name="_Toc97109975"/>
      <w:bookmarkStart w:id="105" w:name="_Toc97112226"/>
      <w:bookmarkStart w:id="106" w:name="_Toc185150707"/>
      <w:r>
        <w:rPr>
          <w:rFonts w:hAnsi="宋体"/>
          <w:sz w:val="24"/>
          <w:szCs w:val="21"/>
        </w:rPr>
        <w:t>11.响应文件的内容</w:t>
      </w:r>
      <w:bookmarkEnd w:id="102"/>
      <w:bookmarkEnd w:id="103"/>
      <w:bookmarkEnd w:id="104"/>
      <w:bookmarkEnd w:id="105"/>
    </w:p>
    <w:p w14:paraId="6184CB90">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11.1响应文件由</w:t>
      </w:r>
    </w:p>
    <w:p w14:paraId="5F92FE00">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ascii="宋体" w:hAnsi="宋体" w:eastAsia="宋体"/>
          <w:sz w:val="24"/>
          <w:szCs w:val="21"/>
          <w:highlight w:val="none"/>
        </w:rPr>
        <w:t>封面</w:t>
      </w:r>
      <w:r>
        <w:rPr>
          <w:rFonts w:hint="eastAsia" w:ascii="宋体" w:hAnsi="宋体" w:eastAsia="宋体"/>
          <w:sz w:val="24"/>
          <w:szCs w:val="21"/>
          <w:highlight w:val="none"/>
        </w:rPr>
        <w:t>；</w:t>
      </w:r>
    </w:p>
    <w:p w14:paraId="7FD976EA">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（2）</w:t>
      </w:r>
      <w:r>
        <w:rPr>
          <w:rFonts w:ascii="宋体" w:hAnsi="宋体" w:eastAsia="宋体"/>
          <w:sz w:val="24"/>
          <w:szCs w:val="21"/>
          <w:highlight w:val="none"/>
        </w:rPr>
        <w:t>目录</w:t>
      </w:r>
      <w:r>
        <w:rPr>
          <w:rFonts w:hint="eastAsia" w:ascii="宋体" w:hAnsi="宋体" w:eastAsia="宋体"/>
          <w:sz w:val="24"/>
          <w:szCs w:val="21"/>
          <w:highlight w:val="none"/>
        </w:rPr>
        <w:t>；</w:t>
      </w:r>
    </w:p>
    <w:p w14:paraId="76E5F086">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（3）响应书；</w:t>
      </w:r>
    </w:p>
    <w:p w14:paraId="3294DC7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（4）报价一览表；</w:t>
      </w:r>
    </w:p>
    <w:p w14:paraId="1B6EC7C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（5）</w:t>
      </w:r>
      <w:r>
        <w:rPr>
          <w:rFonts w:hint="eastAsia" w:ascii="宋体" w:hAnsi="宋体" w:eastAsia="宋体"/>
          <w:sz w:val="24"/>
          <w:szCs w:val="21"/>
          <w:highlight w:val="none"/>
          <w:lang w:val="en-US" w:eastAsia="zh-CN"/>
        </w:rPr>
        <w:t>遴选响应承诺函</w:t>
      </w:r>
      <w:r>
        <w:rPr>
          <w:rFonts w:hint="eastAsia" w:ascii="宋体" w:hAnsi="宋体" w:eastAsia="宋体"/>
          <w:sz w:val="24"/>
          <w:szCs w:val="21"/>
          <w:highlight w:val="none"/>
        </w:rPr>
        <w:t>；</w:t>
      </w:r>
    </w:p>
    <w:p w14:paraId="00FB7BA5">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（6）</w:t>
      </w:r>
      <w:r>
        <w:rPr>
          <w:rFonts w:hint="eastAsia" w:ascii="宋体" w:hAnsi="宋体" w:eastAsia="宋体"/>
          <w:sz w:val="24"/>
          <w:szCs w:val="21"/>
          <w:highlight w:val="none"/>
          <w:lang w:val="en-US" w:eastAsia="zh-CN"/>
        </w:rPr>
        <w:t>供货、质量保证书</w:t>
      </w:r>
      <w:r>
        <w:rPr>
          <w:rFonts w:hint="eastAsia" w:ascii="宋体" w:hAnsi="宋体" w:eastAsia="宋体"/>
          <w:sz w:val="24"/>
          <w:szCs w:val="21"/>
          <w:highlight w:val="none"/>
        </w:rPr>
        <w:t>；</w:t>
      </w:r>
    </w:p>
    <w:p w14:paraId="2FD0C8D9">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（7）近三年来响应产品的销售业绩一览表；</w:t>
      </w:r>
    </w:p>
    <w:p w14:paraId="07C395F9">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8</w:t>
      </w:r>
      <w:r>
        <w:rPr>
          <w:rFonts w:hint="eastAsia" w:ascii="宋体" w:hAnsi="宋体" w:eastAsia="宋体"/>
          <w:sz w:val="24"/>
          <w:szCs w:val="21"/>
          <w:highlight w:val="none"/>
        </w:rPr>
        <w:t>）法定代表人证明书；</w:t>
      </w:r>
    </w:p>
    <w:p w14:paraId="148DE180">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9</w:t>
      </w:r>
      <w:r>
        <w:rPr>
          <w:rFonts w:hint="eastAsia" w:ascii="宋体" w:hAnsi="宋体" w:eastAsia="宋体"/>
          <w:sz w:val="24"/>
          <w:szCs w:val="21"/>
          <w:highlight w:val="none"/>
        </w:rPr>
        <w:t>）法定代表人授权委托书；</w:t>
      </w:r>
    </w:p>
    <w:p w14:paraId="576A8E01">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hint="eastAsia" w:ascii="宋体" w:hAnsi="宋体" w:eastAsia="宋体"/>
          <w:sz w:val="24"/>
          <w:szCs w:val="21"/>
          <w:highlight w:val="none"/>
          <w:lang w:val="en-US" w:eastAsia="zh-CN"/>
        </w:rPr>
        <w:t>0</w:t>
      </w:r>
      <w:r>
        <w:rPr>
          <w:rFonts w:hint="eastAsia" w:ascii="宋体" w:hAnsi="宋体" w:eastAsia="宋体"/>
          <w:sz w:val="24"/>
          <w:szCs w:val="21"/>
          <w:highlight w:val="none"/>
        </w:rPr>
        <w:t>）关于资格的声明函；</w:t>
      </w:r>
    </w:p>
    <w:p w14:paraId="3660368C">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lang w:val="en-US" w:eastAsia="zh-CN"/>
        </w:rPr>
        <w:t>1</w:t>
      </w:r>
      <w:r>
        <w:rPr>
          <w:rFonts w:hint="eastAsia" w:ascii="宋体" w:hAnsi="宋体" w:eastAsia="宋体"/>
          <w:sz w:val="24"/>
          <w:szCs w:val="21"/>
          <w:highlight w:val="none"/>
        </w:rPr>
        <w:t>）响应资格证明书；</w:t>
      </w:r>
    </w:p>
    <w:p w14:paraId="2F14A2E2">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hint="eastAsia" w:ascii="宋体" w:hAnsi="宋体" w:eastAsia="宋体"/>
          <w:sz w:val="24"/>
          <w:szCs w:val="21"/>
          <w:highlight w:val="none"/>
        </w:rPr>
        <w:t>）响应承诺书；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cs="宋体"/>
          <w:color w:val="auto"/>
          <w:sz w:val="24"/>
          <w:szCs w:val="24"/>
        </w:rPr>
        <w:t>包含</w:t>
      </w:r>
      <w:r>
        <w:rPr>
          <w:rFonts w:hint="eastAsia" w:ascii="宋体" w:hAnsi="宋体" w:eastAsia="宋体" w:cs="宋体"/>
          <w:color w:val="auto"/>
          <w:sz w:val="24"/>
          <w:szCs w:val="24"/>
          <w:lang w:val="en-US" w:eastAsia="zh-CN"/>
        </w:rPr>
        <w:t>项目所有成本费、</w:t>
      </w:r>
      <w:r>
        <w:rPr>
          <w:rFonts w:hint="eastAsia" w:ascii="宋体" w:hAnsi="宋体" w:eastAsia="宋体" w:cs="宋体"/>
          <w:color w:val="auto"/>
          <w:sz w:val="24"/>
          <w:szCs w:val="24"/>
        </w:rPr>
        <w:t>装卸费、保险费、税金等一切费用</w:t>
      </w:r>
      <w:r>
        <w:rPr>
          <w:rFonts w:hint="eastAsia" w:ascii="宋体" w:hAnsi="宋体" w:eastAsia="宋体"/>
          <w:sz w:val="24"/>
          <w:szCs w:val="21"/>
        </w:rPr>
        <w:t>）。</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6"/>
        <w:keepNext w:val="0"/>
        <w:keepLines w:val="0"/>
        <w:adjustRightInd/>
        <w:spacing w:before="0" w:after="0" w:line="360" w:lineRule="auto"/>
        <w:ind w:firstLine="482" w:firstLineChars="200"/>
        <w:rPr>
          <w:rFonts w:hAnsi="宋体"/>
          <w:sz w:val="24"/>
          <w:szCs w:val="21"/>
        </w:rPr>
      </w:pPr>
      <w:bookmarkStart w:id="107" w:name="_Toc96934188"/>
      <w:bookmarkStart w:id="108" w:name="_Toc97112227"/>
      <w:bookmarkStart w:id="109" w:name="_Toc110953841"/>
      <w:bookmarkStart w:id="110" w:name="_Toc97109976"/>
      <w:bookmarkStart w:id="111" w:name="_Toc96940316"/>
      <w:r>
        <w:rPr>
          <w:rFonts w:hAnsi="宋体"/>
          <w:sz w:val="24"/>
          <w:szCs w:val="21"/>
        </w:rPr>
        <w:t>12.响应文件格式</w:t>
      </w:r>
      <w:bookmarkEnd w:id="107"/>
      <w:bookmarkEnd w:id="108"/>
      <w:bookmarkEnd w:id="109"/>
      <w:bookmarkEnd w:id="110"/>
      <w:bookmarkEnd w:id="111"/>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06"/>
    <w:p w14:paraId="4A49DB18">
      <w:pPr>
        <w:pStyle w:val="6"/>
        <w:keepNext w:val="0"/>
        <w:keepLines w:val="0"/>
        <w:adjustRightInd/>
        <w:spacing w:before="0" w:after="0" w:line="360" w:lineRule="auto"/>
        <w:ind w:firstLine="482" w:firstLineChars="200"/>
        <w:rPr>
          <w:rFonts w:ascii="Times New Roman"/>
          <w:sz w:val="24"/>
          <w:szCs w:val="21"/>
        </w:rPr>
      </w:pPr>
      <w:bookmarkStart w:id="112" w:name="_Toc110953842"/>
      <w:bookmarkStart w:id="113" w:name="_Toc467236741"/>
      <w:bookmarkStart w:id="114" w:name="_Toc480020258"/>
      <w:bookmarkStart w:id="115" w:name="_Toc468606030"/>
      <w:bookmarkStart w:id="116" w:name="_Toc468157537"/>
      <w:bookmarkStart w:id="117" w:name="_Toc458262615"/>
      <w:bookmarkStart w:id="118" w:name="_Toc480010709"/>
      <w:bookmarkStart w:id="119" w:name="_Toc503758471"/>
      <w:bookmarkStart w:id="120" w:name="_Toc480171880"/>
      <w:bookmarkStart w:id="121" w:name="_Toc454701382"/>
      <w:bookmarkStart w:id="122" w:name="_Toc480021054"/>
      <w:bookmarkStart w:id="123" w:name="_Toc479991583"/>
      <w:bookmarkStart w:id="124" w:name="_Toc467987824"/>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90"/>
    <w:bookmarkEnd w:id="91"/>
    <w:bookmarkEnd w:id="92"/>
    <w:bookmarkEnd w:id="93"/>
    <w:bookmarkEnd w:id="94"/>
    <w:p w14:paraId="0432C327">
      <w:pPr>
        <w:pStyle w:val="4"/>
        <w:keepNext w:val="0"/>
        <w:keepLines w:val="0"/>
        <w:adjustRightInd/>
        <w:spacing w:before="0" w:after="0" w:line="360" w:lineRule="auto"/>
        <w:ind w:firstLine="482" w:firstLineChars="200"/>
        <w:jc w:val="center"/>
        <w:rPr>
          <w:rFonts w:ascii="Times New Roman" w:hAnsi="Times New Roman" w:eastAsia="宋体"/>
          <w:sz w:val="24"/>
          <w:szCs w:val="21"/>
        </w:rPr>
      </w:pPr>
      <w:bookmarkStart w:id="125" w:name="_Toc169861817"/>
      <w:bookmarkStart w:id="126" w:name="_Toc110953843"/>
      <w:bookmarkStart w:id="127" w:name="_Toc6968691"/>
      <w:bookmarkStart w:id="128" w:name="_Toc6882679"/>
      <w:bookmarkStart w:id="129" w:name="_Toc102277760"/>
      <w:bookmarkStart w:id="130" w:name="_Toc466786438"/>
      <w:bookmarkStart w:id="131" w:name="_Toc507407363"/>
      <w:r>
        <w:rPr>
          <w:rFonts w:ascii="Times New Roman" w:hAnsi="Times New Roman" w:eastAsia="宋体"/>
          <w:sz w:val="24"/>
          <w:szCs w:val="21"/>
        </w:rPr>
        <w:t>四、响应文件的递交</w:t>
      </w:r>
      <w:bookmarkEnd w:id="125"/>
      <w:bookmarkEnd w:id="126"/>
    </w:p>
    <w:p w14:paraId="3EBED509">
      <w:pPr>
        <w:pStyle w:val="6"/>
        <w:keepNext w:val="0"/>
        <w:keepLines w:val="0"/>
        <w:adjustRightInd/>
        <w:spacing w:before="0" w:after="0" w:line="480" w:lineRule="exact"/>
        <w:ind w:firstLine="482" w:firstLineChars="200"/>
        <w:rPr>
          <w:rFonts w:hAnsi="宋体"/>
          <w:sz w:val="24"/>
          <w:szCs w:val="21"/>
        </w:rPr>
      </w:pPr>
      <w:bookmarkStart w:id="132" w:name="_Toc96940320"/>
      <w:bookmarkStart w:id="133" w:name="_Toc110953844"/>
      <w:bookmarkStart w:id="134" w:name="_Toc97109980"/>
      <w:bookmarkStart w:id="135" w:name="_Toc96934192"/>
      <w:bookmarkStart w:id="136" w:name="_Toc97112231"/>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32"/>
      <w:bookmarkEnd w:id="133"/>
      <w:bookmarkEnd w:id="134"/>
      <w:bookmarkEnd w:id="135"/>
      <w:bookmarkEnd w:id="136"/>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37"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none"/>
        </w:rPr>
        <w:t>202</w:t>
      </w:r>
      <w:r>
        <w:rPr>
          <w:rFonts w:hint="eastAsia" w:ascii="宋体" w:hAnsi="宋体" w:eastAsia="宋体"/>
          <w:b/>
          <w:sz w:val="24"/>
          <w:szCs w:val="21"/>
          <w:highlight w:val="none"/>
          <w:lang w:val="en-US" w:eastAsia="zh-CN"/>
        </w:rPr>
        <w:t>5</w:t>
      </w:r>
      <w:r>
        <w:rPr>
          <w:rFonts w:ascii="宋体" w:hAnsi="宋体" w:eastAsia="宋体"/>
          <w:b/>
          <w:sz w:val="24"/>
          <w:szCs w:val="21"/>
          <w:highlight w:val="none"/>
        </w:rPr>
        <w:t>年</w:t>
      </w:r>
      <w:r>
        <w:rPr>
          <w:rFonts w:hint="eastAsia" w:ascii="宋体" w:hAnsi="宋体" w:eastAsia="宋体"/>
          <w:b/>
          <w:sz w:val="24"/>
          <w:szCs w:val="21"/>
          <w:highlight w:val="none"/>
          <w:lang w:val="en-US" w:eastAsia="zh-CN"/>
        </w:rPr>
        <w:t>9</w:t>
      </w:r>
      <w:r>
        <w:rPr>
          <w:rFonts w:ascii="宋体" w:hAnsi="宋体" w:eastAsia="宋体"/>
          <w:b/>
          <w:sz w:val="24"/>
          <w:szCs w:val="21"/>
          <w:highlight w:val="none"/>
        </w:rPr>
        <w:t>月</w:t>
      </w:r>
      <w:r>
        <w:rPr>
          <w:rFonts w:hint="eastAsia" w:ascii="宋体" w:hAnsi="宋体" w:eastAsia="宋体"/>
          <w:b/>
          <w:sz w:val="24"/>
          <w:szCs w:val="21"/>
          <w:highlight w:val="none"/>
          <w:lang w:val="en-US" w:eastAsia="zh-CN"/>
        </w:rPr>
        <w:t xml:space="preserve">  5</w:t>
      </w:r>
      <w:r>
        <w:rPr>
          <w:rFonts w:ascii="宋体" w:hAnsi="宋体" w:eastAsia="宋体"/>
          <w:b/>
          <w:sz w:val="24"/>
          <w:szCs w:val="21"/>
          <w:highlight w:val="none"/>
        </w:rPr>
        <w:t>日之前不准启封”</w:t>
      </w:r>
      <w:r>
        <w:rPr>
          <w:rFonts w:ascii="宋体" w:hAnsi="宋体" w:eastAsia="宋体"/>
          <w:sz w:val="24"/>
          <w:szCs w:val="21"/>
          <w:highlight w:val="none"/>
        </w:rPr>
        <w:t>的</w:t>
      </w:r>
      <w:r>
        <w:rPr>
          <w:rFonts w:ascii="宋体" w:hAnsi="宋体" w:eastAsia="宋体"/>
          <w:sz w:val="24"/>
          <w:szCs w:val="21"/>
        </w:rPr>
        <w:t>字样，并加盖骑缝章（公章）。</w:t>
      </w:r>
      <w:bookmarkEnd w:id="137"/>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6"/>
        <w:keepNext w:val="0"/>
        <w:keepLines w:val="0"/>
        <w:adjustRightInd/>
        <w:spacing w:before="0" w:after="0" w:line="480" w:lineRule="exact"/>
        <w:ind w:firstLine="482" w:firstLineChars="200"/>
        <w:rPr>
          <w:rFonts w:hAnsi="宋体"/>
          <w:sz w:val="24"/>
          <w:szCs w:val="21"/>
          <w:highlight w:val="none"/>
        </w:rPr>
      </w:pPr>
      <w:bookmarkStart w:id="138" w:name="_Toc96934193"/>
      <w:bookmarkStart w:id="139" w:name="_Toc97112232"/>
      <w:bookmarkStart w:id="140" w:name="_Toc97109981"/>
      <w:bookmarkStart w:id="141" w:name="_Toc96940321"/>
      <w:bookmarkStart w:id="142" w:name="_Toc110953845"/>
      <w:r>
        <w:rPr>
          <w:rFonts w:hAnsi="宋体"/>
          <w:sz w:val="24"/>
          <w:szCs w:val="21"/>
          <w:highlight w:val="none"/>
        </w:rPr>
        <w:t>1</w:t>
      </w:r>
      <w:r>
        <w:rPr>
          <w:rFonts w:hint="eastAsia" w:hAnsi="宋体"/>
          <w:sz w:val="24"/>
          <w:szCs w:val="21"/>
          <w:highlight w:val="none"/>
          <w:lang w:val="en-US" w:eastAsia="zh-CN"/>
        </w:rPr>
        <w:t>5</w:t>
      </w:r>
      <w:r>
        <w:rPr>
          <w:rFonts w:hAnsi="宋体"/>
          <w:sz w:val="24"/>
          <w:szCs w:val="21"/>
          <w:highlight w:val="none"/>
        </w:rPr>
        <w:t>.递交响应文件的时间、地点以及截止时间</w:t>
      </w:r>
      <w:bookmarkEnd w:id="138"/>
      <w:bookmarkEnd w:id="139"/>
      <w:bookmarkEnd w:id="140"/>
      <w:bookmarkEnd w:id="141"/>
      <w:bookmarkEnd w:id="142"/>
    </w:p>
    <w:p w14:paraId="3D64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 xml:space="preserve">.1 </w:t>
      </w:r>
      <w:r>
        <w:rPr>
          <w:rFonts w:hint="eastAsia" w:eastAsia="宋体"/>
          <w:sz w:val="24"/>
          <w:szCs w:val="22"/>
          <w:highlight w:val="none"/>
        </w:rPr>
        <w:t>递交</w:t>
      </w:r>
      <w:r>
        <w:rPr>
          <w:rFonts w:hint="eastAsia" w:eastAsia="宋体"/>
          <w:sz w:val="24"/>
          <w:szCs w:val="22"/>
          <w:highlight w:val="none"/>
          <w:lang w:val="en-US" w:eastAsia="zh-CN"/>
        </w:rPr>
        <w:t>方式：现场提交或邮寄</w:t>
      </w:r>
    </w:p>
    <w:p w14:paraId="3FB3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ascii="宋体" w:hAnsi="宋体" w:eastAsia="宋体"/>
          <w:sz w:val="24"/>
          <w:szCs w:val="21"/>
          <w:highlight w:val="none"/>
        </w:rPr>
        <w:t xml:space="preserve"> </w:t>
      </w:r>
      <w:r>
        <w:rPr>
          <w:rFonts w:hint="default" w:eastAsia="宋体"/>
          <w:sz w:val="24"/>
          <w:szCs w:val="22"/>
          <w:highlight w:val="none"/>
          <w:lang w:val="en-US" w:eastAsia="zh-CN"/>
        </w:rPr>
        <w:t>现场提交地点：</w:t>
      </w:r>
      <w:r>
        <w:rPr>
          <w:rFonts w:hint="eastAsia" w:eastAsia="宋体"/>
          <w:sz w:val="24"/>
          <w:szCs w:val="22"/>
          <w:highlight w:val="none"/>
          <w:lang w:val="en-US" w:eastAsia="zh-CN"/>
        </w:rPr>
        <w:t>开平市中心医院</w:t>
      </w:r>
      <w:r>
        <w:rPr>
          <w:rFonts w:hint="default" w:eastAsia="宋体"/>
          <w:sz w:val="24"/>
          <w:szCs w:val="22"/>
          <w:highlight w:val="none"/>
          <w:lang w:val="en-US" w:eastAsia="zh-CN"/>
        </w:rPr>
        <w:t>张襯大楼六楼后勤股</w:t>
      </w:r>
      <w:r>
        <w:rPr>
          <w:rFonts w:hint="eastAsia" w:eastAsia="宋体"/>
          <w:sz w:val="24"/>
          <w:szCs w:val="22"/>
          <w:highlight w:val="none"/>
          <w:lang w:val="en-US" w:eastAsia="zh-CN"/>
        </w:rPr>
        <w:t>（地址：</w:t>
      </w:r>
      <w:r>
        <w:rPr>
          <w:rFonts w:hint="default" w:eastAsia="宋体"/>
          <w:sz w:val="24"/>
          <w:szCs w:val="22"/>
          <w:highlight w:val="none"/>
          <w:lang w:val="en-US" w:eastAsia="zh-CN"/>
        </w:rPr>
        <w:t>开平市长沙街道办事处三江A7区）</w:t>
      </w:r>
    </w:p>
    <w:p w14:paraId="4FF9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.3</w:t>
      </w:r>
      <w:r>
        <w:rPr>
          <w:rFonts w:ascii="宋体" w:hAnsi="宋体" w:eastAsia="宋体"/>
          <w:sz w:val="24"/>
          <w:szCs w:val="21"/>
          <w:highlight w:val="none"/>
        </w:rPr>
        <w:t xml:space="preserve"> </w:t>
      </w:r>
      <w:r>
        <w:rPr>
          <w:rFonts w:hint="default" w:eastAsia="宋体"/>
          <w:sz w:val="24"/>
          <w:szCs w:val="22"/>
          <w:highlight w:val="none"/>
          <w:lang w:val="en-US" w:eastAsia="zh-CN"/>
        </w:rPr>
        <w:t>邮寄信息：联系人：龚小姐，联系电话：15917318304，地址：开平市长沙街道办事处三江A7区张襯大楼</w:t>
      </w:r>
    </w:p>
    <w:p w14:paraId="20E94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响应文件递交地点：</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8"/>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7C5A8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yellow"/>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.2</w:t>
      </w:r>
      <w:r>
        <w:rPr>
          <w:rFonts w:hint="eastAsia" w:ascii="宋体" w:hAnsi="宋体" w:eastAsia="宋体"/>
          <w:sz w:val="24"/>
          <w:szCs w:val="22"/>
          <w:highlight w:val="none"/>
        </w:rPr>
        <w:t>递交</w:t>
      </w:r>
      <w:r>
        <w:rPr>
          <w:rFonts w:hint="eastAsia" w:ascii="宋体" w:hAnsi="宋体" w:eastAsia="宋体"/>
          <w:sz w:val="24"/>
          <w:szCs w:val="22"/>
          <w:highlight w:val="none"/>
          <w:lang w:val="en-US" w:eastAsia="zh-CN"/>
        </w:rPr>
        <w:t>响</w:t>
      </w:r>
      <w:r>
        <w:rPr>
          <w:rFonts w:hint="eastAsia" w:ascii="宋体" w:hAnsi="宋体" w:eastAsia="宋体"/>
          <w:sz w:val="24"/>
          <w:szCs w:val="22"/>
          <w:lang w:val="en-US" w:eastAsia="zh-CN"/>
        </w:rPr>
        <w:t>应</w:t>
      </w:r>
      <w:r>
        <w:rPr>
          <w:rFonts w:hint="eastAsia" w:ascii="宋体" w:hAnsi="宋体" w:eastAsia="宋体"/>
          <w:sz w:val="24"/>
          <w:szCs w:val="22"/>
        </w:rPr>
        <w:t>文件时间：</w:t>
      </w:r>
      <w:r>
        <w:rPr>
          <w:rFonts w:ascii="宋体" w:hAnsi="宋体" w:eastAsia="宋体"/>
          <w:sz w:val="24"/>
          <w:szCs w:val="22"/>
          <w:highlight w:val="none"/>
        </w:rPr>
        <w:t>202</w:t>
      </w:r>
      <w:r>
        <w:rPr>
          <w:rFonts w:hint="eastAsia" w:ascii="宋体" w:hAnsi="宋体" w:eastAsia="宋体"/>
          <w:sz w:val="24"/>
          <w:szCs w:val="22"/>
          <w:highlight w:val="none"/>
          <w:lang w:val="en-US" w:eastAsia="zh-CN"/>
        </w:rPr>
        <w:t>5</w:t>
      </w:r>
      <w:r>
        <w:rPr>
          <w:rFonts w:hint="eastAsia" w:ascii="宋体" w:hAnsi="宋体" w:eastAsia="宋体"/>
          <w:sz w:val="24"/>
          <w:szCs w:val="22"/>
          <w:highlight w:val="none"/>
        </w:rPr>
        <w:t>年</w:t>
      </w:r>
      <w:r>
        <w:rPr>
          <w:rFonts w:hint="eastAsia" w:ascii="宋体" w:hAnsi="宋体" w:eastAsia="宋体"/>
          <w:sz w:val="24"/>
          <w:szCs w:val="22"/>
          <w:highlight w:val="none"/>
          <w:lang w:val="en-US" w:eastAsia="zh-CN"/>
        </w:rPr>
        <w:t>8</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28</w:t>
      </w:r>
      <w:r>
        <w:rPr>
          <w:rFonts w:hint="eastAsia" w:ascii="宋体" w:hAnsi="宋体" w:eastAsia="宋体"/>
          <w:sz w:val="24"/>
          <w:szCs w:val="22"/>
          <w:highlight w:val="none"/>
        </w:rPr>
        <w:t>日</w:t>
      </w:r>
      <w:r>
        <w:rPr>
          <w:rFonts w:hint="eastAsia" w:ascii="宋体" w:hAnsi="宋体" w:eastAsia="宋体"/>
          <w:sz w:val="24"/>
          <w:szCs w:val="22"/>
          <w:highlight w:val="none"/>
          <w:lang w:val="en-US" w:eastAsia="zh-CN"/>
        </w:rPr>
        <w:t>8</w:t>
      </w:r>
      <w:r>
        <w:rPr>
          <w:rFonts w:hint="eastAsia" w:ascii="宋体" w:hAnsi="宋体" w:eastAsia="宋体"/>
          <w:sz w:val="24"/>
          <w:szCs w:val="22"/>
          <w:highlight w:val="none"/>
        </w:rPr>
        <w:t>:00时至</w:t>
      </w:r>
      <w:r>
        <w:rPr>
          <w:rFonts w:hint="eastAsia" w:ascii="宋体" w:hAnsi="宋体" w:eastAsia="宋体"/>
          <w:sz w:val="24"/>
          <w:szCs w:val="22"/>
          <w:highlight w:val="none"/>
          <w:lang w:val="en-US" w:eastAsia="zh-CN"/>
        </w:rPr>
        <w:t>2025年9月4日17:30时</w:t>
      </w:r>
      <w:r>
        <w:rPr>
          <w:rFonts w:hint="eastAsia" w:ascii="宋体" w:hAnsi="宋体" w:eastAsia="宋体"/>
          <w:sz w:val="24"/>
          <w:szCs w:val="22"/>
          <w:highlight w:val="none"/>
        </w:rPr>
        <w:t>（北京时间）。提前、逾期递交或不符合规定的</w:t>
      </w:r>
      <w:r>
        <w:rPr>
          <w:rFonts w:hint="eastAsia" w:ascii="宋体" w:hAnsi="宋体" w:eastAsia="宋体"/>
          <w:sz w:val="24"/>
          <w:szCs w:val="22"/>
          <w:highlight w:val="none"/>
          <w:lang w:val="en-US" w:eastAsia="zh-CN"/>
        </w:rPr>
        <w:t>响应</w:t>
      </w:r>
      <w:r>
        <w:rPr>
          <w:rFonts w:hint="eastAsia" w:ascii="宋体" w:hAnsi="宋体" w:eastAsia="宋体"/>
          <w:sz w:val="24"/>
          <w:szCs w:val="22"/>
          <w:highlight w:val="none"/>
        </w:rPr>
        <w:t>文件恕不接受。</w:t>
      </w:r>
      <w:bookmarkStart w:id="261" w:name="_GoBack"/>
      <w:bookmarkEnd w:id="261"/>
    </w:p>
    <w:p w14:paraId="21A08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（3）未按规定包装和密封的响应文件。</w:t>
      </w:r>
    </w:p>
    <w:p w14:paraId="0E4D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响应文件的修改与撤回</w:t>
      </w:r>
    </w:p>
    <w:p w14:paraId="522A0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50"/>
    <w:bookmarkEnd w:id="51"/>
    <w:bookmarkEnd w:id="52"/>
    <w:bookmarkEnd w:id="53"/>
    <w:bookmarkEnd w:id="54"/>
    <w:bookmarkEnd w:id="55"/>
    <w:bookmarkEnd w:id="56"/>
    <w:bookmarkEnd w:id="57"/>
    <w:bookmarkEnd w:id="58"/>
    <w:bookmarkEnd w:id="59"/>
    <w:bookmarkEnd w:id="60"/>
    <w:bookmarkEnd w:id="127"/>
    <w:bookmarkEnd w:id="128"/>
    <w:bookmarkEnd w:id="129"/>
    <w:bookmarkEnd w:id="130"/>
    <w:bookmarkEnd w:id="131"/>
    <w:p w14:paraId="300BFE7E">
      <w:pPr>
        <w:rPr>
          <w:rFonts w:ascii="Times New Roman"/>
          <w:sz w:val="36"/>
          <w:szCs w:val="28"/>
        </w:rPr>
      </w:pPr>
      <w:bookmarkStart w:id="143" w:name="_Toc169861823"/>
      <w:bookmarkStart w:id="144" w:name="_Toc51939456"/>
      <w:bookmarkStart w:id="145" w:name="_Toc52027926"/>
      <w:bookmarkStart w:id="146" w:name="_Toc52021538"/>
      <w:bookmarkStart w:id="147" w:name="_Toc56353011"/>
      <w:bookmarkStart w:id="148" w:name="_Toc51756491"/>
      <w:bookmarkStart w:id="149" w:name="_Toc476976198"/>
      <w:bookmarkStart w:id="150" w:name="_Toc486671570"/>
      <w:bookmarkStart w:id="151" w:name="_Toc467049706"/>
      <w:bookmarkStart w:id="152" w:name="_Toc457975339"/>
      <w:bookmarkStart w:id="153" w:name="_Toc467236766"/>
      <w:bookmarkStart w:id="154" w:name="_Toc467050236"/>
      <w:r>
        <w:rPr>
          <w:rFonts w:ascii="Times New Roman"/>
          <w:sz w:val="36"/>
          <w:szCs w:val="28"/>
        </w:rPr>
        <w:br w:type="page"/>
      </w:r>
    </w:p>
    <w:p w14:paraId="2EE59E0A">
      <w:pPr>
        <w:pStyle w:val="3"/>
        <w:keepNext w:val="0"/>
        <w:keepLines w:val="0"/>
        <w:spacing w:before="0" w:after="0" w:line="360" w:lineRule="auto"/>
        <w:jc w:val="center"/>
        <w:rPr>
          <w:rFonts w:ascii="Times New Roman"/>
          <w:sz w:val="36"/>
          <w:szCs w:val="28"/>
        </w:rPr>
      </w:pPr>
      <w:r>
        <w:rPr>
          <w:rFonts w:ascii="Times New Roman"/>
          <w:sz w:val="36"/>
          <w:szCs w:val="28"/>
        </w:rPr>
        <w:t>第</w:t>
      </w:r>
      <w:r>
        <w:rPr>
          <w:rFonts w:hint="eastAsia" w:ascii="Times New Roman"/>
          <w:sz w:val="36"/>
          <w:szCs w:val="28"/>
          <w:lang w:val="en-US" w:eastAsia="zh-CN"/>
        </w:rPr>
        <w:t>三</w:t>
      </w:r>
      <w:r>
        <w:rPr>
          <w:rFonts w:ascii="Times New Roman"/>
          <w:sz w:val="36"/>
          <w:szCs w:val="28"/>
        </w:rPr>
        <w:t>部分</w:t>
      </w:r>
      <w:r>
        <w:rPr>
          <w:rFonts w:hint="eastAsia" w:ascii="Times New Roman"/>
          <w:sz w:val="36"/>
          <w:szCs w:val="28"/>
        </w:rPr>
        <w:t xml:space="preserve"> 评审办法</w:t>
      </w:r>
      <w:bookmarkEnd w:id="143"/>
    </w:p>
    <w:p w14:paraId="6D1FB73F">
      <w:pPr>
        <w:pStyle w:val="2"/>
        <w:ind w:firstLine="482" w:firstLineChars="200"/>
        <w:jc w:val="left"/>
        <w:outlineLvl w:val="1"/>
        <w:rPr>
          <w:rFonts w:ascii="Times New Roman" w:eastAsia="宋体"/>
          <w:b/>
          <w:sz w:val="24"/>
          <w:szCs w:val="21"/>
        </w:rPr>
      </w:pPr>
      <w:r>
        <w:rPr>
          <w:rFonts w:hint="eastAsia" w:ascii="Times New Roman" w:eastAsia="宋体"/>
          <w:b/>
          <w:sz w:val="24"/>
          <w:szCs w:val="21"/>
        </w:rPr>
        <w:t>一、</w:t>
      </w:r>
      <w:r>
        <w:rPr>
          <w:rFonts w:hint="eastAsia" w:ascii="Times New Roman" w:eastAsia="宋体"/>
          <w:b/>
          <w:sz w:val="24"/>
          <w:szCs w:val="21"/>
          <w:lang w:eastAsia="zh-CN"/>
        </w:rPr>
        <w:t>遴选</w:t>
      </w:r>
      <w:r>
        <w:rPr>
          <w:rFonts w:hint="eastAsia" w:ascii="Times New Roman" w:eastAsia="宋体"/>
          <w:b/>
          <w:sz w:val="24"/>
          <w:szCs w:val="21"/>
        </w:rPr>
        <w:t>小组对响应文件进行资格性审查、符合性审查。</w:t>
      </w:r>
    </w:p>
    <w:tbl>
      <w:tblPr>
        <w:tblStyle w:val="42"/>
        <w:tblW w:w="8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58E91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tcBorders>
              <w:top w:val="double" w:color="auto" w:sz="4" w:space="0"/>
              <w:left w:val="double" w:color="auto" w:sz="4" w:space="0"/>
              <w:bottom w:val="single" w:color="auto" w:sz="4" w:space="0"/>
              <w:right w:val="single" w:color="auto" w:sz="4" w:space="0"/>
            </w:tcBorders>
            <w:vAlign w:val="center"/>
          </w:tcPr>
          <w:p w14:paraId="5AF0B16B">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审查项目</w:t>
            </w:r>
          </w:p>
        </w:tc>
        <w:tc>
          <w:tcPr>
            <w:tcW w:w="6110" w:type="dxa"/>
            <w:tcBorders>
              <w:top w:val="double" w:color="auto" w:sz="4" w:space="0"/>
              <w:left w:val="single" w:color="auto" w:sz="4" w:space="0"/>
              <w:bottom w:val="single" w:color="auto" w:sz="4" w:space="0"/>
              <w:right w:val="single" w:color="auto" w:sz="4" w:space="0"/>
            </w:tcBorders>
            <w:vAlign w:val="center"/>
          </w:tcPr>
          <w:p w14:paraId="79FA4CC0">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内容</w:t>
            </w:r>
          </w:p>
        </w:tc>
        <w:tc>
          <w:tcPr>
            <w:tcW w:w="1275" w:type="dxa"/>
            <w:tcBorders>
              <w:top w:val="double" w:color="auto" w:sz="4" w:space="0"/>
              <w:left w:val="single" w:color="auto" w:sz="4" w:space="0"/>
              <w:bottom w:val="single" w:color="auto" w:sz="4" w:space="0"/>
              <w:right w:val="double" w:color="auto" w:sz="4" w:space="0"/>
            </w:tcBorders>
          </w:tcPr>
          <w:p w14:paraId="5F72257F">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是否符合</w:t>
            </w:r>
          </w:p>
        </w:tc>
      </w:tr>
      <w:tr w14:paraId="1A1E5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tcBorders>
              <w:top w:val="single" w:color="auto" w:sz="4" w:space="0"/>
              <w:left w:val="double" w:color="auto" w:sz="4" w:space="0"/>
              <w:right w:val="single" w:color="auto" w:sz="4" w:space="0"/>
            </w:tcBorders>
            <w:vAlign w:val="center"/>
          </w:tcPr>
          <w:p w14:paraId="2813F85B">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资格性审查</w:t>
            </w:r>
          </w:p>
        </w:tc>
        <w:tc>
          <w:tcPr>
            <w:tcW w:w="6110" w:type="dxa"/>
            <w:tcBorders>
              <w:top w:val="single" w:color="auto" w:sz="4" w:space="0"/>
              <w:left w:val="single" w:color="auto" w:sz="4" w:space="0"/>
              <w:right w:val="single" w:color="auto" w:sz="4" w:space="0"/>
            </w:tcBorders>
            <w:vAlign w:val="center"/>
          </w:tcPr>
          <w:p w14:paraId="21AA9B70">
            <w:pPr>
              <w:keepNext w:val="0"/>
              <w:keepLines w:val="0"/>
              <w:pageBreakBefore w:val="0"/>
              <w:widowControl w:val="0"/>
              <w:kinsoku/>
              <w:overflowPunct/>
              <w:topLinePunct w:val="0"/>
              <w:autoSpaceDE/>
              <w:autoSpaceDN/>
              <w:bidi w:val="0"/>
              <w:spacing w:line="360" w:lineRule="auto"/>
              <w:ind w:firstLine="0" w:firstLineChars="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供应商须是中华人民共和国境内注册，具有独立法人资格，企业财务状况良好，依法缴纳税收和社会保障资金,具备承担遴选项目的能力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CD78740">
            <w:pPr>
              <w:pStyle w:val="91"/>
              <w:adjustRightInd w:val="0"/>
              <w:snapToGrid w:val="0"/>
              <w:spacing w:line="360" w:lineRule="auto"/>
              <w:ind w:firstLine="0" w:firstLineChars="0"/>
              <w:jc w:val="left"/>
              <w:rPr>
                <w:rFonts w:ascii="Times New Roman" w:hAnsi="Times New Roman"/>
                <w:bCs/>
                <w:sz w:val="24"/>
              </w:rPr>
            </w:pPr>
          </w:p>
        </w:tc>
      </w:tr>
      <w:tr w14:paraId="17D0E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65" w:type="dxa"/>
            <w:vMerge w:val="continue"/>
            <w:tcBorders>
              <w:left w:val="double" w:color="auto" w:sz="4" w:space="0"/>
              <w:right w:val="single" w:color="auto" w:sz="4" w:space="0"/>
            </w:tcBorders>
            <w:vAlign w:val="center"/>
          </w:tcPr>
          <w:p w14:paraId="158B920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0BDF0D77">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所提供的必须是遴选响应人合法生产或代理的符合国家质量标准、行业标准和专业标准等相关标准的合格产品，并能确保在合同有效期内按照合同中规定的品名、厂家、规格、价格、批号、有效期及时供货</w:t>
            </w:r>
            <w:r>
              <w:rPr>
                <w:rFonts w:hint="eastAsia" w:ascii="宋体" w:hAnsi="宋体" w:eastAsia="宋体" w:cs="宋体"/>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B540839">
            <w:pPr>
              <w:adjustRightInd w:val="0"/>
              <w:snapToGrid w:val="0"/>
              <w:spacing w:line="360" w:lineRule="auto"/>
              <w:jc w:val="left"/>
              <w:rPr>
                <w:rFonts w:eastAsia="宋体"/>
                <w:sz w:val="24"/>
                <w:szCs w:val="21"/>
              </w:rPr>
            </w:pPr>
          </w:p>
        </w:tc>
      </w:tr>
      <w:tr w14:paraId="01519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254D69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623F077">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bCs/>
                <w:color w:val="auto"/>
                <w:sz w:val="24"/>
                <w:szCs w:val="24"/>
              </w:rPr>
              <w:t>不得有商业贿赂和不正当欺诈行为。如遴选响应人被证实有以上行为，将被视为不合格</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1728F4B4">
            <w:pPr>
              <w:adjustRightInd w:val="0"/>
              <w:snapToGrid w:val="0"/>
              <w:spacing w:line="360" w:lineRule="auto"/>
              <w:jc w:val="left"/>
              <w:rPr>
                <w:rFonts w:eastAsia="宋体"/>
                <w:sz w:val="24"/>
                <w:szCs w:val="21"/>
              </w:rPr>
            </w:pPr>
          </w:p>
        </w:tc>
      </w:tr>
      <w:tr w14:paraId="52FAC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5BA598AF">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1E8425D5">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Cs/>
                <w:color w:val="auto"/>
                <w:sz w:val="24"/>
                <w:szCs w:val="24"/>
              </w:rPr>
              <w:t>具有良好的商业信誉和完善的售后服务体系，并能承担遴选项目</w:t>
            </w:r>
            <w:r>
              <w:rPr>
                <w:rFonts w:hint="eastAsia" w:ascii="宋体" w:hAnsi="宋体" w:eastAsia="宋体" w:cs="宋体"/>
                <w:bCs/>
                <w:color w:val="auto"/>
                <w:sz w:val="24"/>
                <w:szCs w:val="24"/>
                <w:lang w:val="en-US" w:eastAsia="zh-CN"/>
              </w:rPr>
              <w:t>维保</w:t>
            </w:r>
            <w:r>
              <w:rPr>
                <w:rFonts w:hint="eastAsia" w:ascii="宋体" w:hAnsi="宋体" w:eastAsia="宋体" w:cs="宋体"/>
                <w:bCs/>
                <w:color w:val="auto"/>
                <w:sz w:val="24"/>
                <w:szCs w:val="24"/>
              </w:rPr>
              <w:t>能力和服务</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0615B5DF">
            <w:pPr>
              <w:adjustRightInd w:val="0"/>
              <w:snapToGrid w:val="0"/>
              <w:spacing w:line="360" w:lineRule="auto"/>
              <w:jc w:val="left"/>
              <w:rPr>
                <w:rFonts w:eastAsia="宋体"/>
                <w:sz w:val="24"/>
                <w:szCs w:val="21"/>
              </w:rPr>
            </w:pPr>
          </w:p>
          <w:p w14:paraId="6C16A6A9">
            <w:pPr>
              <w:adjustRightInd w:val="0"/>
              <w:snapToGrid w:val="0"/>
              <w:spacing w:line="360" w:lineRule="auto"/>
              <w:jc w:val="left"/>
              <w:rPr>
                <w:rFonts w:eastAsia="宋体"/>
                <w:sz w:val="24"/>
                <w:szCs w:val="21"/>
              </w:rPr>
            </w:pPr>
          </w:p>
        </w:tc>
      </w:tr>
      <w:tr w14:paraId="33559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48C38F4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64237B7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0C1BFACF">
            <w:pPr>
              <w:adjustRightInd w:val="0"/>
              <w:snapToGrid w:val="0"/>
              <w:spacing w:line="360" w:lineRule="auto"/>
              <w:jc w:val="left"/>
              <w:rPr>
                <w:rFonts w:eastAsia="宋体"/>
                <w:sz w:val="24"/>
                <w:szCs w:val="21"/>
              </w:rPr>
            </w:pPr>
          </w:p>
        </w:tc>
      </w:tr>
      <w:tr w14:paraId="7CB02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09464D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31D61E54">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近三年内参加招投标活动在经营活动中没有重大违法违纪记录</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7B5005A3">
            <w:pPr>
              <w:adjustRightInd w:val="0"/>
              <w:snapToGrid w:val="0"/>
              <w:spacing w:line="360" w:lineRule="auto"/>
              <w:jc w:val="left"/>
              <w:rPr>
                <w:rFonts w:eastAsia="宋体"/>
                <w:sz w:val="24"/>
                <w:szCs w:val="21"/>
              </w:rPr>
            </w:pPr>
          </w:p>
        </w:tc>
      </w:tr>
      <w:tr w14:paraId="4FE5D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07DFEC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E69657A">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如遴选响应人被政府有关部门通报列入黑名单的，禁止参加本项目遴选响应</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6D279C4B">
            <w:pPr>
              <w:adjustRightInd w:val="0"/>
              <w:snapToGrid w:val="0"/>
              <w:spacing w:line="360" w:lineRule="auto"/>
              <w:jc w:val="left"/>
              <w:rPr>
                <w:rFonts w:eastAsia="宋体"/>
                <w:sz w:val="24"/>
                <w:szCs w:val="21"/>
              </w:rPr>
            </w:pPr>
          </w:p>
        </w:tc>
      </w:tr>
      <w:tr w14:paraId="303C1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D13F14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0A418B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遴选响应人经营行为必须符合国家法律、法规和有关规定</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45A8D2E">
            <w:pPr>
              <w:adjustRightInd w:val="0"/>
              <w:snapToGrid w:val="0"/>
              <w:spacing w:line="360" w:lineRule="auto"/>
              <w:jc w:val="left"/>
              <w:rPr>
                <w:rFonts w:eastAsia="宋体"/>
                <w:sz w:val="24"/>
                <w:szCs w:val="21"/>
              </w:rPr>
            </w:pPr>
          </w:p>
        </w:tc>
      </w:tr>
      <w:tr w14:paraId="14409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65" w:type="dxa"/>
            <w:vMerge w:val="continue"/>
            <w:tcBorders>
              <w:left w:val="double" w:color="auto" w:sz="4" w:space="0"/>
              <w:right w:val="single" w:color="auto" w:sz="4" w:space="0"/>
            </w:tcBorders>
            <w:vAlign w:val="center"/>
          </w:tcPr>
          <w:p w14:paraId="07505B2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ED0B0DF">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次遴选</w:t>
            </w:r>
            <w:r>
              <w:rPr>
                <w:rFonts w:hint="eastAsia" w:ascii="宋体" w:hAnsi="宋体" w:eastAsia="宋体" w:cs="宋体"/>
                <w:color w:val="auto"/>
                <w:sz w:val="24"/>
                <w:szCs w:val="24"/>
              </w:rPr>
              <w:t>不接受联合体投标。</w:t>
            </w:r>
          </w:p>
        </w:tc>
        <w:tc>
          <w:tcPr>
            <w:tcW w:w="1275" w:type="dxa"/>
            <w:tcBorders>
              <w:top w:val="single" w:color="auto" w:sz="4" w:space="0"/>
              <w:left w:val="single" w:color="auto" w:sz="4" w:space="0"/>
              <w:bottom w:val="single" w:color="auto" w:sz="4" w:space="0"/>
              <w:right w:val="double" w:color="auto" w:sz="4" w:space="0"/>
            </w:tcBorders>
            <w:vAlign w:val="center"/>
          </w:tcPr>
          <w:p w14:paraId="329BCC28">
            <w:pPr>
              <w:adjustRightInd w:val="0"/>
              <w:snapToGrid w:val="0"/>
              <w:spacing w:line="360" w:lineRule="auto"/>
              <w:jc w:val="left"/>
              <w:rPr>
                <w:rFonts w:eastAsia="宋体"/>
                <w:sz w:val="24"/>
                <w:szCs w:val="21"/>
              </w:rPr>
            </w:pPr>
          </w:p>
        </w:tc>
      </w:tr>
      <w:tr w14:paraId="6362B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restart"/>
            <w:tcBorders>
              <w:top w:val="single" w:color="auto" w:sz="4" w:space="0"/>
              <w:left w:val="double" w:color="auto" w:sz="4" w:space="0"/>
              <w:bottom w:val="double" w:color="auto" w:sz="4" w:space="0"/>
              <w:right w:val="single" w:color="auto" w:sz="4" w:space="0"/>
            </w:tcBorders>
            <w:vAlign w:val="center"/>
          </w:tcPr>
          <w:p w14:paraId="2F6D33A6">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符合性审查</w:t>
            </w:r>
          </w:p>
        </w:tc>
        <w:tc>
          <w:tcPr>
            <w:tcW w:w="6110" w:type="dxa"/>
            <w:tcBorders>
              <w:top w:val="single" w:color="auto" w:sz="4" w:space="0"/>
              <w:left w:val="single" w:color="auto" w:sz="4" w:space="0"/>
              <w:bottom w:val="single" w:color="auto" w:sz="4" w:space="0"/>
              <w:right w:val="single" w:color="auto" w:sz="4" w:space="0"/>
            </w:tcBorders>
            <w:vAlign w:val="center"/>
          </w:tcPr>
          <w:p w14:paraId="3BE74584">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1.</w:t>
            </w:r>
            <w:r>
              <w:rPr>
                <w:rFonts w:hint="eastAsia" w:ascii="Times New Roman" w:hAnsi="Times New Roman"/>
                <w:bCs/>
                <w:sz w:val="24"/>
              </w:rPr>
              <w:t>响应文件资料完整，打印、盖章、签字等情况符合要求。</w:t>
            </w:r>
          </w:p>
        </w:tc>
        <w:tc>
          <w:tcPr>
            <w:tcW w:w="1275" w:type="dxa"/>
            <w:tcBorders>
              <w:top w:val="single" w:color="auto" w:sz="4" w:space="0"/>
              <w:left w:val="single" w:color="auto" w:sz="4" w:space="0"/>
              <w:bottom w:val="single" w:color="auto" w:sz="4" w:space="0"/>
              <w:right w:val="double" w:color="auto" w:sz="4" w:space="0"/>
            </w:tcBorders>
            <w:vAlign w:val="center"/>
          </w:tcPr>
          <w:p w14:paraId="3DDA6791">
            <w:pPr>
              <w:pStyle w:val="91"/>
              <w:adjustRightInd w:val="0"/>
              <w:snapToGrid w:val="0"/>
              <w:spacing w:line="360" w:lineRule="auto"/>
              <w:ind w:firstLine="0" w:firstLineChars="0"/>
              <w:jc w:val="left"/>
              <w:rPr>
                <w:rFonts w:ascii="Times New Roman" w:hAnsi="Times New Roman"/>
                <w:bCs/>
                <w:sz w:val="24"/>
              </w:rPr>
            </w:pPr>
          </w:p>
        </w:tc>
      </w:tr>
      <w:tr w14:paraId="08BD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A4F0C60">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4C0A2FE">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2.</w:t>
            </w:r>
            <w:r>
              <w:rPr>
                <w:rFonts w:hint="eastAsia" w:ascii="Times New Roman" w:hAnsi="Times New Roman"/>
                <w:bCs/>
                <w:sz w:val="24"/>
              </w:rPr>
              <w:t>有效的法定代表人／授权委托书。</w:t>
            </w:r>
          </w:p>
        </w:tc>
        <w:tc>
          <w:tcPr>
            <w:tcW w:w="1275" w:type="dxa"/>
            <w:tcBorders>
              <w:top w:val="single" w:color="auto" w:sz="4" w:space="0"/>
              <w:left w:val="single" w:color="auto" w:sz="4" w:space="0"/>
              <w:bottom w:val="single" w:color="auto" w:sz="4" w:space="0"/>
              <w:right w:val="double" w:color="auto" w:sz="4" w:space="0"/>
            </w:tcBorders>
            <w:vAlign w:val="center"/>
          </w:tcPr>
          <w:p w14:paraId="3622ACEA">
            <w:pPr>
              <w:pStyle w:val="91"/>
              <w:adjustRightInd w:val="0"/>
              <w:snapToGrid w:val="0"/>
              <w:spacing w:line="360" w:lineRule="auto"/>
              <w:ind w:firstLine="0" w:firstLineChars="0"/>
              <w:jc w:val="left"/>
              <w:rPr>
                <w:rFonts w:ascii="Times New Roman" w:hAnsi="Times New Roman"/>
                <w:bCs/>
                <w:sz w:val="24"/>
              </w:rPr>
            </w:pPr>
          </w:p>
        </w:tc>
      </w:tr>
      <w:tr w14:paraId="4006F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3232933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9E9A14D">
            <w:pPr>
              <w:pStyle w:val="93"/>
              <w:kinsoku w:val="0"/>
              <w:overflowPunct w:val="0"/>
              <w:spacing w:line="360" w:lineRule="auto"/>
              <w:jc w:val="both"/>
              <w:rPr>
                <w:rFonts w:ascii="宋体" w:cs="宋体"/>
              </w:rPr>
            </w:pPr>
            <w:r>
              <w:rPr>
                <w:rFonts w:ascii="宋体" w:cs="宋体"/>
              </w:rPr>
              <w:t>3</w:t>
            </w:r>
            <w:r>
              <w:rPr>
                <w:rFonts w:hint="eastAsia" w:ascii="宋体" w:cs="宋体"/>
              </w:rPr>
              <w:t>.报价总金额未超过本项目采购项目预算。</w:t>
            </w:r>
          </w:p>
        </w:tc>
        <w:tc>
          <w:tcPr>
            <w:tcW w:w="1275" w:type="dxa"/>
            <w:tcBorders>
              <w:top w:val="single" w:color="auto" w:sz="4" w:space="0"/>
              <w:left w:val="single" w:color="auto" w:sz="4" w:space="0"/>
              <w:bottom w:val="single" w:color="auto" w:sz="4" w:space="0"/>
              <w:right w:val="double" w:color="auto" w:sz="4" w:space="0"/>
            </w:tcBorders>
            <w:vAlign w:val="center"/>
          </w:tcPr>
          <w:p w14:paraId="2DEE52EC">
            <w:pPr>
              <w:pStyle w:val="91"/>
              <w:adjustRightInd w:val="0"/>
              <w:snapToGrid w:val="0"/>
              <w:spacing w:line="360" w:lineRule="auto"/>
              <w:ind w:firstLine="0" w:firstLineChars="0"/>
              <w:jc w:val="left"/>
              <w:rPr>
                <w:rFonts w:ascii="Times New Roman" w:hAnsi="Times New Roman"/>
                <w:bCs/>
                <w:color w:val="FF0000"/>
                <w:sz w:val="24"/>
              </w:rPr>
            </w:pPr>
          </w:p>
        </w:tc>
      </w:tr>
      <w:tr w14:paraId="44C10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87B1761">
            <w:pPr>
              <w:widowControl/>
              <w:spacing w:line="360" w:lineRule="auto"/>
              <w:rPr>
                <w:rFonts w:eastAsia="宋体"/>
                <w:bCs/>
                <w:sz w:val="24"/>
                <w:szCs w:val="22"/>
              </w:rPr>
            </w:pPr>
          </w:p>
        </w:tc>
        <w:tc>
          <w:tcPr>
            <w:tcW w:w="6110" w:type="dxa"/>
            <w:tcBorders>
              <w:top w:val="single" w:color="auto" w:sz="4" w:space="0"/>
              <w:left w:val="single" w:color="auto" w:sz="4" w:space="0"/>
              <w:bottom w:val="double" w:color="auto" w:sz="4" w:space="0"/>
              <w:right w:val="single" w:color="auto" w:sz="4" w:space="0"/>
            </w:tcBorders>
            <w:vAlign w:val="center"/>
          </w:tcPr>
          <w:p w14:paraId="3E0020DD">
            <w:pPr>
              <w:pStyle w:val="93"/>
              <w:kinsoku w:val="0"/>
              <w:overflowPunct w:val="0"/>
              <w:spacing w:line="360" w:lineRule="auto"/>
              <w:jc w:val="both"/>
            </w:pPr>
            <w:r>
              <w:t>4.</w:t>
            </w:r>
            <w:r>
              <w:rPr>
                <w:rFonts w:hint="eastAsia"/>
              </w:rPr>
              <w:t>没有其他未实质性响应文件要求的。</w:t>
            </w:r>
          </w:p>
        </w:tc>
        <w:tc>
          <w:tcPr>
            <w:tcW w:w="1275" w:type="dxa"/>
            <w:tcBorders>
              <w:top w:val="single" w:color="auto" w:sz="4" w:space="0"/>
              <w:left w:val="single" w:color="auto" w:sz="4" w:space="0"/>
              <w:bottom w:val="double" w:color="auto" w:sz="4" w:space="0"/>
              <w:right w:val="double" w:color="auto" w:sz="4" w:space="0"/>
            </w:tcBorders>
            <w:vAlign w:val="center"/>
          </w:tcPr>
          <w:p w14:paraId="2CA2E9FC">
            <w:pPr>
              <w:pStyle w:val="91"/>
              <w:adjustRightInd w:val="0"/>
              <w:snapToGrid w:val="0"/>
              <w:spacing w:line="360" w:lineRule="auto"/>
              <w:ind w:firstLine="0" w:firstLineChars="0"/>
              <w:jc w:val="left"/>
              <w:rPr>
                <w:rFonts w:ascii="Times New Roman" w:hAnsi="Times New Roman"/>
                <w:bCs/>
                <w:color w:val="FF0000"/>
                <w:sz w:val="24"/>
              </w:rPr>
            </w:pPr>
          </w:p>
        </w:tc>
      </w:tr>
    </w:tbl>
    <w:p w14:paraId="10ADD4B8">
      <w:pPr>
        <w:spacing w:line="360" w:lineRule="auto"/>
        <w:rPr>
          <w:rFonts w:ascii="宋体" w:hAnsi="宋体" w:eastAsia="宋体"/>
          <w:color w:val="000000"/>
          <w:sz w:val="24"/>
          <w:szCs w:val="24"/>
        </w:rPr>
      </w:pPr>
      <w:r>
        <w:rPr>
          <w:rFonts w:hint="eastAsia" w:ascii="宋体" w:hAnsi="宋体" w:eastAsia="宋体"/>
          <w:color w:val="000000"/>
          <w:sz w:val="24"/>
          <w:szCs w:val="24"/>
        </w:rPr>
        <w:t>备注：1. 每一项符合的打“√”，不符合的打“×”。</w:t>
      </w:r>
    </w:p>
    <w:p w14:paraId="6A136374">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2.</w:t>
      </w:r>
      <w:r>
        <w:rPr>
          <w:rFonts w:hint="eastAsia" w:ascii="宋体" w:hAnsi="宋体" w:eastAsia="宋体"/>
          <w:sz w:val="24"/>
          <w:szCs w:val="24"/>
        </w:rPr>
        <w:t>评</w:t>
      </w:r>
      <w:r>
        <w:rPr>
          <w:rFonts w:hint="eastAsia" w:ascii="宋体" w:hAnsi="宋体" w:eastAsia="宋体"/>
          <w:color w:val="000000"/>
          <w:sz w:val="24"/>
          <w:szCs w:val="24"/>
        </w:rPr>
        <w:t>委认为通过初审的响应文件（少数服从多数），为有效响应文件，否则视为不通过。通过初审的响应文件方可进入</w:t>
      </w:r>
      <w:r>
        <w:rPr>
          <w:rFonts w:hint="eastAsia" w:ascii="宋体" w:hAnsi="宋体" w:eastAsia="宋体"/>
          <w:color w:val="000000"/>
          <w:sz w:val="24"/>
          <w:szCs w:val="24"/>
          <w:lang w:val="en-US" w:eastAsia="zh-CN"/>
        </w:rPr>
        <w:t>遴选</w:t>
      </w:r>
      <w:r>
        <w:rPr>
          <w:rFonts w:hint="eastAsia" w:ascii="宋体" w:hAnsi="宋体" w:eastAsia="宋体"/>
          <w:color w:val="000000"/>
          <w:sz w:val="24"/>
          <w:szCs w:val="24"/>
        </w:rPr>
        <w:t>程序，视为不通过的响应文件，作无效投标处理，由评标委员会出具书面说明。</w:t>
      </w:r>
    </w:p>
    <w:p w14:paraId="18652D5D">
      <w:pPr>
        <w:pStyle w:val="2"/>
        <w:ind w:firstLine="482" w:firstLineChars="200"/>
        <w:rPr>
          <w:rFonts w:ascii="Times New Roman" w:eastAsia="宋体"/>
          <w:sz w:val="24"/>
          <w:szCs w:val="21"/>
        </w:rPr>
      </w:pPr>
      <w:r>
        <w:rPr>
          <w:rFonts w:hint="eastAsia" w:ascii="Times New Roman" w:eastAsia="宋体"/>
          <w:b/>
          <w:sz w:val="24"/>
          <w:szCs w:val="21"/>
        </w:rPr>
        <w:t>二</w:t>
      </w:r>
      <w:r>
        <w:rPr>
          <w:rFonts w:ascii="Times New Roman" w:eastAsia="宋体"/>
          <w:b/>
          <w:sz w:val="24"/>
          <w:szCs w:val="21"/>
        </w:rPr>
        <w:t>、经过</w:t>
      </w:r>
      <w:r>
        <w:rPr>
          <w:rFonts w:hint="eastAsia" w:ascii="Times New Roman" w:eastAsia="宋体"/>
          <w:b/>
          <w:sz w:val="24"/>
          <w:szCs w:val="21"/>
          <w:lang w:eastAsia="zh-CN"/>
        </w:rPr>
        <w:t>遴选</w:t>
      </w:r>
      <w:r>
        <w:rPr>
          <w:rFonts w:ascii="Times New Roman" w:eastAsia="宋体"/>
          <w:b/>
          <w:sz w:val="24"/>
          <w:szCs w:val="21"/>
        </w:rPr>
        <w:t>阶段后，</w:t>
      </w:r>
      <w:r>
        <w:rPr>
          <w:rFonts w:hint="eastAsia" w:ascii="Times New Roman" w:eastAsia="宋体"/>
          <w:b/>
          <w:sz w:val="24"/>
          <w:szCs w:val="21"/>
          <w:lang w:eastAsia="zh-CN"/>
        </w:rPr>
        <w:t>遴选</w:t>
      </w:r>
      <w:r>
        <w:rPr>
          <w:rFonts w:ascii="Times New Roman" w:eastAsia="宋体"/>
          <w:b/>
          <w:sz w:val="24"/>
          <w:szCs w:val="21"/>
        </w:rPr>
        <w:t>小组按照</w:t>
      </w:r>
      <w:r>
        <w:rPr>
          <w:rFonts w:hint="eastAsia" w:ascii="Times New Roman" w:eastAsia="宋体"/>
          <w:b/>
          <w:sz w:val="24"/>
          <w:szCs w:val="21"/>
          <w:lang w:eastAsia="zh-CN"/>
        </w:rPr>
        <w:t>遴选</w:t>
      </w:r>
      <w:r>
        <w:rPr>
          <w:rFonts w:ascii="Times New Roman" w:eastAsia="宋体"/>
          <w:b/>
          <w:sz w:val="24"/>
          <w:szCs w:val="21"/>
        </w:rPr>
        <w:t>文件确定的评审标准和方法对提交最</w:t>
      </w:r>
      <w:r>
        <w:rPr>
          <w:rFonts w:hint="eastAsia" w:ascii="Times New Roman" w:eastAsia="宋体"/>
          <w:b/>
          <w:sz w:val="24"/>
          <w:szCs w:val="21"/>
        </w:rPr>
        <w:t>终</w:t>
      </w:r>
      <w:r>
        <w:rPr>
          <w:rFonts w:ascii="Times New Roman" w:eastAsia="宋体"/>
          <w:b/>
          <w:sz w:val="24"/>
          <w:szCs w:val="21"/>
        </w:rPr>
        <w:t>报价的供应商的响应文件进行评审和比较，推荐候选成交供应商，制订评审报告。</w:t>
      </w:r>
    </w:p>
    <w:p w14:paraId="763DFAFF">
      <w:pPr>
        <w:pStyle w:val="23"/>
        <w:spacing w:line="360" w:lineRule="auto"/>
        <w:ind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三</w:t>
      </w:r>
      <w:r>
        <w:rPr>
          <w:rFonts w:ascii="Times New Roman" w:hAnsi="Times New Roman"/>
          <w:b/>
          <w:sz w:val="24"/>
          <w:szCs w:val="21"/>
        </w:rPr>
        <w:t>、报价评审</w:t>
      </w:r>
    </w:p>
    <w:p w14:paraId="64810F3F">
      <w:pPr>
        <w:tabs>
          <w:tab w:val="left" w:pos="1365"/>
        </w:tabs>
        <w:spacing w:line="360" w:lineRule="auto"/>
        <w:ind w:firstLine="480" w:firstLineChars="200"/>
        <w:rPr>
          <w:rFonts w:eastAsia="宋体"/>
          <w:sz w:val="24"/>
          <w:szCs w:val="21"/>
        </w:rPr>
      </w:pPr>
      <w:r>
        <w:rPr>
          <w:rFonts w:eastAsia="宋体"/>
          <w:sz w:val="24"/>
          <w:szCs w:val="21"/>
        </w:rPr>
        <w:t>1.价格核准：</w:t>
      </w:r>
      <w:r>
        <w:rPr>
          <w:rFonts w:hint="eastAsia" w:eastAsia="宋体"/>
          <w:sz w:val="24"/>
          <w:szCs w:val="21"/>
          <w:lang w:eastAsia="zh-CN"/>
        </w:rPr>
        <w:t>遴选</w:t>
      </w:r>
      <w:r>
        <w:rPr>
          <w:rFonts w:eastAsia="宋体"/>
          <w:sz w:val="24"/>
          <w:szCs w:val="21"/>
        </w:rPr>
        <w:t>小组对有效供应商的详细报价进行复核，审查是否有计算上的错误或供货范围上的错误。对错误修正的原则如下：</w:t>
      </w:r>
    </w:p>
    <w:p w14:paraId="7F4389D8">
      <w:pPr>
        <w:tabs>
          <w:tab w:val="left" w:pos="1365"/>
          <w:tab w:val="left" w:pos="1470"/>
        </w:tabs>
        <w:spacing w:line="360" w:lineRule="auto"/>
        <w:ind w:firstLine="480" w:firstLineChars="200"/>
        <w:outlineLvl w:val="2"/>
        <w:rPr>
          <w:rFonts w:eastAsia="宋体"/>
          <w:sz w:val="24"/>
          <w:szCs w:val="21"/>
        </w:rPr>
      </w:pPr>
      <w:r>
        <w:rPr>
          <w:rFonts w:eastAsia="宋体"/>
          <w:sz w:val="24"/>
          <w:szCs w:val="21"/>
        </w:rPr>
        <w:t>1.1响应文件的大写金额和小写金额不一致的，以大写金额为准</w:t>
      </w:r>
      <w:r>
        <w:rPr>
          <w:rFonts w:hint="eastAsia" w:eastAsia="宋体"/>
          <w:sz w:val="24"/>
          <w:szCs w:val="21"/>
        </w:rPr>
        <w:t>。</w:t>
      </w:r>
    </w:p>
    <w:p w14:paraId="1BD6AC25">
      <w:pPr>
        <w:tabs>
          <w:tab w:val="left" w:pos="1365"/>
          <w:tab w:val="left" w:pos="1470"/>
        </w:tabs>
        <w:spacing w:line="360" w:lineRule="auto"/>
        <w:ind w:firstLine="480" w:firstLineChars="200"/>
        <w:rPr>
          <w:rFonts w:eastAsia="宋体"/>
          <w:sz w:val="24"/>
          <w:szCs w:val="21"/>
        </w:rPr>
      </w:pPr>
      <w:r>
        <w:rPr>
          <w:rFonts w:eastAsia="宋体"/>
          <w:sz w:val="24"/>
          <w:szCs w:val="21"/>
        </w:rPr>
        <w:t>1.2当单价和数量的乘积与总价不一致时，以单价为准，并修正总价，但单价金额小数点有明显错误的除外</w:t>
      </w:r>
      <w:r>
        <w:rPr>
          <w:rFonts w:hint="eastAsia" w:eastAsia="宋体"/>
          <w:sz w:val="24"/>
          <w:szCs w:val="21"/>
        </w:rPr>
        <w:t>。</w:t>
      </w:r>
    </w:p>
    <w:p w14:paraId="0FFC1239">
      <w:pPr>
        <w:tabs>
          <w:tab w:val="left" w:pos="1365"/>
          <w:tab w:val="left" w:pos="1470"/>
        </w:tabs>
        <w:spacing w:line="360" w:lineRule="auto"/>
        <w:ind w:firstLine="480" w:firstLineChars="200"/>
        <w:outlineLvl w:val="2"/>
        <w:rPr>
          <w:rFonts w:eastAsia="宋体"/>
          <w:sz w:val="24"/>
          <w:szCs w:val="21"/>
        </w:rPr>
      </w:pPr>
      <w:r>
        <w:rPr>
          <w:rFonts w:eastAsia="宋体"/>
          <w:sz w:val="24"/>
          <w:szCs w:val="21"/>
        </w:rPr>
        <w:t>1.3当分项之和与总价不一致时，以单价为准，并修正总价。</w:t>
      </w:r>
    </w:p>
    <w:p w14:paraId="27898BCB">
      <w:pPr>
        <w:pStyle w:val="23"/>
        <w:tabs>
          <w:tab w:val="left" w:pos="1365"/>
        </w:tabs>
        <w:spacing w:line="360" w:lineRule="auto"/>
        <w:ind w:left="16"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四</w:t>
      </w:r>
      <w:r>
        <w:rPr>
          <w:rFonts w:ascii="Times New Roman" w:hAnsi="Times New Roman"/>
          <w:b/>
          <w:sz w:val="24"/>
          <w:szCs w:val="21"/>
        </w:rPr>
        <w:t>、</w:t>
      </w:r>
      <w:r>
        <w:rPr>
          <w:rFonts w:hint="eastAsia" w:ascii="Times New Roman" w:hAnsi="Times New Roman"/>
          <w:b/>
          <w:sz w:val="24"/>
          <w:szCs w:val="21"/>
        </w:rPr>
        <w:t>成交供应商的确定</w:t>
      </w:r>
    </w:p>
    <w:p w14:paraId="1F717C11">
      <w:pPr>
        <w:spacing w:line="360" w:lineRule="auto"/>
        <w:ind w:firstLine="480" w:firstLineChars="200"/>
        <w:outlineLvl w:val="2"/>
        <w:rPr>
          <w:rFonts w:eastAsia="宋体"/>
          <w:sz w:val="24"/>
          <w:szCs w:val="21"/>
          <w:highlight w:val="none"/>
        </w:rPr>
      </w:pPr>
      <w:r>
        <w:rPr>
          <w:rFonts w:eastAsia="宋体"/>
          <w:sz w:val="24"/>
          <w:szCs w:val="21"/>
          <w:highlight w:val="none"/>
        </w:rPr>
        <w:t>1</w:t>
      </w:r>
      <w:r>
        <w:rPr>
          <w:rFonts w:hint="eastAsia" w:eastAsia="宋体"/>
          <w:sz w:val="24"/>
          <w:szCs w:val="21"/>
          <w:highlight w:val="none"/>
        </w:rPr>
        <w:t>．</w:t>
      </w:r>
      <w:r>
        <w:rPr>
          <w:rFonts w:hint="eastAsia" w:eastAsia="宋体"/>
          <w:b/>
          <w:bCs/>
          <w:sz w:val="24"/>
          <w:szCs w:val="21"/>
          <w:highlight w:val="none"/>
          <w:lang w:val="en-US" w:eastAsia="zh-CN"/>
        </w:rPr>
        <w:t>综合评分法</w:t>
      </w:r>
      <w:r>
        <w:rPr>
          <w:rFonts w:eastAsia="宋体"/>
          <w:b/>
          <w:bCs/>
          <w:sz w:val="24"/>
          <w:szCs w:val="21"/>
          <w:highlight w:val="none"/>
        </w:rPr>
        <w:t>。</w:t>
      </w:r>
    </w:p>
    <w:p w14:paraId="2FA101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推荐成交候选报价供应商名单：将各有效</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供应商按其最终</w:t>
      </w:r>
      <w:r>
        <w:rPr>
          <w:rFonts w:hint="eastAsia" w:ascii="宋体" w:hAnsi="宋体" w:eastAsia="宋体" w:cs="宋体"/>
          <w:sz w:val="24"/>
          <w:szCs w:val="24"/>
          <w:highlight w:val="none"/>
          <w:lang w:val="en-US" w:eastAsia="zh-CN"/>
        </w:rPr>
        <w:t>得分</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高</w:t>
      </w:r>
      <w:r>
        <w:rPr>
          <w:rFonts w:hint="eastAsia" w:ascii="宋体" w:hAnsi="宋体" w:eastAsia="宋体" w:cs="宋体"/>
          <w:sz w:val="24"/>
          <w:szCs w:val="24"/>
          <w:highlight w:val="none"/>
        </w:rPr>
        <w:t>到</w:t>
      </w:r>
      <w:r>
        <w:rPr>
          <w:rFonts w:hint="eastAsia" w:ascii="宋体" w:hAnsi="宋体" w:eastAsia="宋体" w:cs="宋体"/>
          <w:sz w:val="24"/>
          <w:szCs w:val="24"/>
          <w:highlight w:val="none"/>
          <w:lang w:val="en-US" w:eastAsia="zh-CN"/>
        </w:rPr>
        <w:t>低</w:t>
      </w:r>
      <w:r>
        <w:rPr>
          <w:rFonts w:hint="eastAsia" w:ascii="宋体" w:hAnsi="宋体" w:eastAsia="宋体" w:cs="宋体"/>
          <w:sz w:val="24"/>
          <w:szCs w:val="24"/>
          <w:highlight w:val="none"/>
        </w:rPr>
        <w:t>排列。</w:t>
      </w:r>
    </w:p>
    <w:tbl>
      <w:tblPr>
        <w:tblStyle w:val="42"/>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74"/>
        <w:gridCol w:w="836"/>
        <w:gridCol w:w="6364"/>
      </w:tblGrid>
      <w:tr w14:paraId="766B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5" w:type="dxa"/>
            <w:vMerge w:val="restart"/>
            <w:noWrap w:val="0"/>
            <w:vAlign w:val="center"/>
          </w:tcPr>
          <w:p w14:paraId="76EBCF2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类别</w:t>
            </w:r>
          </w:p>
        </w:tc>
        <w:tc>
          <w:tcPr>
            <w:tcW w:w="1074" w:type="dxa"/>
            <w:vMerge w:val="restart"/>
            <w:noWrap w:val="0"/>
            <w:vAlign w:val="center"/>
          </w:tcPr>
          <w:p w14:paraId="1D8DB5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计分因素</w:t>
            </w:r>
          </w:p>
        </w:tc>
        <w:tc>
          <w:tcPr>
            <w:tcW w:w="836" w:type="dxa"/>
            <w:vMerge w:val="restart"/>
            <w:noWrap w:val="0"/>
            <w:vAlign w:val="center"/>
          </w:tcPr>
          <w:p w14:paraId="6AF34D3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6364" w:type="dxa"/>
            <w:vMerge w:val="restart"/>
            <w:noWrap w:val="0"/>
            <w:vAlign w:val="center"/>
          </w:tcPr>
          <w:p w14:paraId="50D6FFB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2CC1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5" w:type="dxa"/>
            <w:vMerge w:val="continue"/>
            <w:noWrap w:val="0"/>
            <w:vAlign w:val="center"/>
          </w:tcPr>
          <w:p w14:paraId="6A92D3B3">
            <w:pPr>
              <w:spacing w:line="360" w:lineRule="auto"/>
              <w:jc w:val="center"/>
              <w:rPr>
                <w:rFonts w:hint="eastAsia" w:ascii="宋体" w:hAnsi="宋体" w:eastAsia="宋体" w:cs="宋体"/>
                <w:sz w:val="24"/>
                <w:szCs w:val="24"/>
              </w:rPr>
            </w:pPr>
          </w:p>
        </w:tc>
        <w:tc>
          <w:tcPr>
            <w:tcW w:w="1074" w:type="dxa"/>
            <w:vMerge w:val="continue"/>
            <w:noWrap w:val="0"/>
            <w:vAlign w:val="center"/>
          </w:tcPr>
          <w:p w14:paraId="270C232C">
            <w:pPr>
              <w:spacing w:line="360" w:lineRule="auto"/>
              <w:jc w:val="center"/>
              <w:rPr>
                <w:rFonts w:hint="eastAsia" w:ascii="宋体" w:hAnsi="宋体" w:eastAsia="宋体" w:cs="宋体"/>
                <w:sz w:val="24"/>
                <w:szCs w:val="24"/>
              </w:rPr>
            </w:pPr>
          </w:p>
        </w:tc>
        <w:tc>
          <w:tcPr>
            <w:tcW w:w="836" w:type="dxa"/>
            <w:vMerge w:val="continue"/>
            <w:noWrap w:val="0"/>
            <w:vAlign w:val="center"/>
          </w:tcPr>
          <w:p w14:paraId="453615DC">
            <w:pPr>
              <w:spacing w:line="360" w:lineRule="auto"/>
              <w:jc w:val="center"/>
              <w:rPr>
                <w:rFonts w:hint="eastAsia" w:ascii="宋体" w:hAnsi="宋体" w:eastAsia="宋体" w:cs="宋体"/>
                <w:sz w:val="24"/>
                <w:szCs w:val="24"/>
              </w:rPr>
            </w:pPr>
          </w:p>
        </w:tc>
        <w:tc>
          <w:tcPr>
            <w:tcW w:w="6364" w:type="dxa"/>
            <w:vMerge w:val="continue"/>
            <w:noWrap w:val="0"/>
            <w:vAlign w:val="center"/>
          </w:tcPr>
          <w:p w14:paraId="2DE0E90B">
            <w:pPr>
              <w:spacing w:line="360" w:lineRule="auto"/>
              <w:jc w:val="center"/>
              <w:rPr>
                <w:rFonts w:hint="eastAsia" w:ascii="宋体" w:hAnsi="宋体" w:eastAsia="宋体" w:cs="宋体"/>
                <w:sz w:val="24"/>
                <w:szCs w:val="24"/>
              </w:rPr>
            </w:pPr>
          </w:p>
        </w:tc>
      </w:tr>
      <w:tr w14:paraId="7532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5" w:type="dxa"/>
            <w:noWrap w:val="0"/>
            <w:vAlign w:val="center"/>
          </w:tcPr>
          <w:p w14:paraId="451DE0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w:t>
            </w:r>
          </w:p>
        </w:tc>
        <w:tc>
          <w:tcPr>
            <w:tcW w:w="1074" w:type="dxa"/>
            <w:noWrap w:val="0"/>
            <w:vAlign w:val="center"/>
          </w:tcPr>
          <w:p w14:paraId="61A3E29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tc>
        <w:tc>
          <w:tcPr>
            <w:tcW w:w="836" w:type="dxa"/>
            <w:noWrap w:val="0"/>
            <w:vAlign w:val="center"/>
          </w:tcPr>
          <w:p w14:paraId="1BCFE0F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100分</w:t>
            </w:r>
          </w:p>
        </w:tc>
        <w:tc>
          <w:tcPr>
            <w:tcW w:w="6364" w:type="dxa"/>
            <w:noWrap w:val="0"/>
            <w:vAlign w:val="center"/>
          </w:tcPr>
          <w:p w14:paraId="5166C3A6">
            <w:pPr>
              <w:spacing w:line="360" w:lineRule="auto"/>
              <w:ind w:right="150" w:rightChars="50"/>
              <w:rPr>
                <w:rFonts w:hint="eastAsia" w:ascii="宋体" w:hAnsi="宋体" w:eastAsia="宋体" w:cs="宋体"/>
                <w:sz w:val="24"/>
                <w:szCs w:val="24"/>
              </w:rPr>
            </w:pPr>
            <w:r>
              <w:rPr>
                <w:rFonts w:hint="eastAsia" w:ascii="宋体" w:hAnsi="宋体" w:eastAsia="宋体" w:cs="宋体"/>
                <w:sz w:val="24"/>
                <w:szCs w:val="24"/>
              </w:rPr>
              <w:t>响应报价30分</w:t>
            </w:r>
            <w:r>
              <w:rPr>
                <w:rFonts w:hint="eastAsia" w:ascii="宋体" w:hAnsi="宋体" w:eastAsia="宋体" w:cs="宋体"/>
                <w:sz w:val="24"/>
                <w:szCs w:val="24"/>
                <w:lang w:eastAsia="zh-CN"/>
              </w:rPr>
              <w:t>，</w:t>
            </w:r>
            <w:r>
              <w:rPr>
                <w:rFonts w:hint="eastAsia" w:ascii="宋体" w:hAnsi="宋体" w:eastAsia="宋体" w:cs="宋体"/>
                <w:sz w:val="24"/>
                <w:szCs w:val="24"/>
              </w:rPr>
              <w:t>商务部分20分</w:t>
            </w:r>
            <w:r>
              <w:rPr>
                <w:rFonts w:hint="eastAsia" w:ascii="宋体" w:hAnsi="宋体" w:eastAsia="宋体" w:cs="宋体"/>
                <w:sz w:val="24"/>
                <w:szCs w:val="24"/>
                <w:lang w:eastAsia="zh-CN"/>
              </w:rPr>
              <w:t>，</w:t>
            </w:r>
            <w:r>
              <w:rPr>
                <w:rFonts w:hint="eastAsia" w:ascii="宋体" w:hAnsi="宋体" w:eastAsia="宋体" w:cs="宋体"/>
                <w:sz w:val="24"/>
                <w:szCs w:val="24"/>
              </w:rPr>
              <w:t>技术部分50分</w:t>
            </w:r>
          </w:p>
        </w:tc>
      </w:tr>
      <w:tr w14:paraId="66A5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5" w:type="dxa"/>
            <w:noWrap w:val="0"/>
            <w:vAlign w:val="center"/>
          </w:tcPr>
          <w:p w14:paraId="18E484CB">
            <w:pPr>
              <w:spacing w:line="360" w:lineRule="auto"/>
              <w:ind w:left="6" w:hanging="6"/>
              <w:jc w:val="center"/>
              <w:rPr>
                <w:rFonts w:hint="eastAsia" w:ascii="宋体" w:hAnsi="宋体" w:eastAsia="宋体" w:cs="宋体"/>
                <w:sz w:val="24"/>
                <w:szCs w:val="24"/>
              </w:rPr>
            </w:pPr>
            <w:r>
              <w:rPr>
                <w:rFonts w:hint="eastAsia" w:ascii="宋体" w:hAnsi="宋体" w:eastAsia="宋体" w:cs="宋体"/>
                <w:sz w:val="24"/>
                <w:szCs w:val="24"/>
              </w:rPr>
              <w:t>报价部分30分</w:t>
            </w:r>
          </w:p>
        </w:tc>
        <w:tc>
          <w:tcPr>
            <w:tcW w:w="1074" w:type="dxa"/>
            <w:noWrap w:val="0"/>
            <w:vAlign w:val="center"/>
          </w:tcPr>
          <w:p w14:paraId="7E8F03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    总报价</w:t>
            </w:r>
          </w:p>
        </w:tc>
        <w:tc>
          <w:tcPr>
            <w:tcW w:w="836" w:type="dxa"/>
            <w:noWrap w:val="0"/>
            <w:vAlign w:val="center"/>
          </w:tcPr>
          <w:p w14:paraId="690E75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6364" w:type="dxa"/>
            <w:noWrap w:val="0"/>
            <w:vAlign w:val="center"/>
          </w:tcPr>
          <w:p w14:paraId="42B68D15">
            <w:pPr>
              <w:spacing w:line="360" w:lineRule="auto"/>
              <w:ind w:right="150" w:rightChars="50"/>
              <w:rPr>
                <w:rFonts w:hint="eastAsia" w:ascii="宋体" w:hAnsi="宋体" w:eastAsia="宋体" w:cs="宋体"/>
                <w:sz w:val="24"/>
                <w:szCs w:val="24"/>
              </w:rPr>
            </w:pPr>
            <w:r>
              <w:rPr>
                <w:rFonts w:hint="eastAsia" w:ascii="宋体" w:hAnsi="宋体" w:eastAsia="宋体" w:cs="宋体"/>
                <w:sz w:val="24"/>
                <w:szCs w:val="24"/>
              </w:rPr>
              <w:t>响应报价最后得分＝P/T×30</w:t>
            </w:r>
          </w:p>
          <w:p w14:paraId="380A7B45">
            <w:pPr>
              <w:spacing w:line="360" w:lineRule="auto"/>
              <w:ind w:right="150" w:rightChars="50"/>
              <w:rPr>
                <w:rFonts w:hint="eastAsia" w:ascii="宋体" w:hAnsi="宋体" w:eastAsia="宋体" w:cs="宋体"/>
                <w:sz w:val="24"/>
                <w:szCs w:val="24"/>
              </w:rPr>
            </w:pPr>
            <w:r>
              <w:rPr>
                <w:rFonts w:hint="eastAsia" w:ascii="宋体" w:hAnsi="宋体" w:eastAsia="宋体" w:cs="宋体"/>
                <w:sz w:val="24"/>
                <w:szCs w:val="24"/>
              </w:rPr>
              <w:t>其中P为有效响应人响应总报价的最低价，T为各响应人的响应文件总报价。</w:t>
            </w:r>
          </w:p>
        </w:tc>
      </w:tr>
      <w:tr w14:paraId="0B23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5" w:type="dxa"/>
            <w:vMerge w:val="restart"/>
            <w:noWrap w:val="0"/>
            <w:vAlign w:val="center"/>
          </w:tcPr>
          <w:p w14:paraId="404A0781">
            <w:pPr>
              <w:spacing w:line="360" w:lineRule="auto"/>
              <w:ind w:left="6" w:hanging="6"/>
              <w:jc w:val="center"/>
              <w:rPr>
                <w:rFonts w:hint="eastAsia" w:ascii="宋体" w:hAnsi="宋体" w:eastAsia="宋体" w:cs="宋体"/>
                <w:sz w:val="24"/>
                <w:szCs w:val="24"/>
              </w:rPr>
            </w:pPr>
            <w:r>
              <w:rPr>
                <w:rFonts w:hint="eastAsia" w:ascii="宋体" w:hAnsi="宋体" w:eastAsia="宋体" w:cs="宋体"/>
                <w:sz w:val="24"/>
                <w:szCs w:val="24"/>
              </w:rPr>
              <w:t>商务部分20分</w:t>
            </w:r>
          </w:p>
        </w:tc>
        <w:tc>
          <w:tcPr>
            <w:tcW w:w="1074" w:type="dxa"/>
            <w:noWrap w:val="0"/>
            <w:vAlign w:val="center"/>
          </w:tcPr>
          <w:p w14:paraId="32BCB7B7">
            <w:pPr>
              <w:spacing w:line="360" w:lineRule="auto"/>
              <w:jc w:val="center"/>
              <w:rPr>
                <w:rFonts w:hint="eastAsia" w:ascii="宋体" w:hAnsi="宋体" w:eastAsia="宋体" w:cs="宋体"/>
                <w:sz w:val="24"/>
                <w:szCs w:val="24"/>
              </w:rPr>
            </w:pPr>
            <w:r>
              <w:rPr>
                <w:rFonts w:hint="eastAsia" w:ascii="宋体" w:hAnsi="宋体" w:eastAsia="宋体" w:cs="宋体"/>
                <w:bCs/>
                <w:kern w:val="0"/>
                <w:sz w:val="24"/>
                <w:szCs w:val="24"/>
              </w:rPr>
              <w:t>质量管控能力</w:t>
            </w:r>
          </w:p>
        </w:tc>
        <w:tc>
          <w:tcPr>
            <w:tcW w:w="836" w:type="dxa"/>
            <w:noWrap w:val="0"/>
            <w:vAlign w:val="center"/>
          </w:tcPr>
          <w:p w14:paraId="0E8BC32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3分</w:t>
            </w:r>
          </w:p>
        </w:tc>
        <w:tc>
          <w:tcPr>
            <w:tcW w:w="6364" w:type="dxa"/>
            <w:noWrap w:val="0"/>
            <w:vAlign w:val="top"/>
          </w:tcPr>
          <w:p w14:paraId="22B82159">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投标人具有质量管理体系认证、环境管理体系认证、职业健康安全管理体系认证证书，每提供一个证书得1分，最高得3分。</w:t>
            </w:r>
          </w:p>
        </w:tc>
      </w:tr>
      <w:tr w14:paraId="47A9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5" w:type="dxa"/>
            <w:vMerge w:val="continue"/>
            <w:noWrap w:val="0"/>
            <w:vAlign w:val="center"/>
          </w:tcPr>
          <w:p w14:paraId="1C2F77FE">
            <w:pPr>
              <w:spacing w:line="360" w:lineRule="auto"/>
              <w:ind w:left="6" w:hanging="6"/>
              <w:jc w:val="center"/>
              <w:rPr>
                <w:rFonts w:hint="eastAsia" w:ascii="宋体" w:hAnsi="宋体" w:eastAsia="宋体" w:cs="宋体"/>
                <w:sz w:val="24"/>
                <w:szCs w:val="24"/>
              </w:rPr>
            </w:pPr>
          </w:p>
        </w:tc>
        <w:tc>
          <w:tcPr>
            <w:tcW w:w="1074" w:type="dxa"/>
            <w:noWrap w:val="0"/>
            <w:vAlign w:val="center"/>
          </w:tcPr>
          <w:p w14:paraId="6876D7F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合同业绩</w:t>
            </w:r>
          </w:p>
        </w:tc>
        <w:tc>
          <w:tcPr>
            <w:tcW w:w="836" w:type="dxa"/>
            <w:noWrap w:val="0"/>
            <w:vAlign w:val="center"/>
          </w:tcPr>
          <w:p w14:paraId="5AB0DB3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8分</w:t>
            </w:r>
          </w:p>
        </w:tc>
        <w:tc>
          <w:tcPr>
            <w:tcW w:w="6364" w:type="dxa"/>
            <w:noWrap w:val="0"/>
            <w:vAlign w:val="center"/>
          </w:tcPr>
          <w:p w14:paraId="5C0042D9">
            <w:pPr>
              <w:spacing w:line="360" w:lineRule="auto"/>
              <w:rPr>
                <w:rFonts w:hint="eastAsia" w:ascii="宋体" w:hAnsi="宋体" w:eastAsia="宋体" w:cs="宋体"/>
                <w:sz w:val="24"/>
                <w:szCs w:val="24"/>
              </w:rPr>
            </w:pPr>
            <w:r>
              <w:rPr>
                <w:rFonts w:hint="eastAsia" w:ascii="宋体" w:hAnsi="宋体" w:eastAsia="宋体" w:cs="宋体"/>
                <w:sz w:val="24"/>
                <w:szCs w:val="24"/>
              </w:rPr>
              <w:t>每提供一份近三年以来类似业绩合同得2分，最高得8分。（</w:t>
            </w:r>
            <w:r>
              <w:rPr>
                <w:rFonts w:hint="eastAsia" w:ascii="宋体" w:hAnsi="宋体" w:eastAsia="宋体" w:cs="宋体"/>
                <w:bCs/>
                <w:sz w:val="24"/>
                <w:szCs w:val="24"/>
              </w:rPr>
              <w:t>提供中标（成交）通知书或合同关键页扫描件并加盖投标人公章。不清晰或</w:t>
            </w:r>
            <w:bookmarkStart w:id="155" w:name="OLE_LINK18"/>
            <w:bookmarkStart w:id="156" w:name="OLE_LINK17"/>
            <w:r>
              <w:rPr>
                <w:rFonts w:hint="eastAsia" w:ascii="宋体" w:hAnsi="宋体" w:eastAsia="宋体" w:cs="宋体"/>
                <w:bCs/>
                <w:sz w:val="24"/>
                <w:szCs w:val="24"/>
              </w:rPr>
              <w:t>未提供不得分</w:t>
            </w:r>
            <w:bookmarkEnd w:id="155"/>
            <w:bookmarkEnd w:id="156"/>
            <w:r>
              <w:rPr>
                <w:rFonts w:hint="eastAsia" w:ascii="宋体" w:hAnsi="宋体" w:eastAsia="宋体" w:cs="宋体"/>
                <w:bCs/>
                <w:sz w:val="24"/>
                <w:szCs w:val="24"/>
              </w:rPr>
              <w:t>。</w:t>
            </w:r>
            <w:r>
              <w:rPr>
                <w:rFonts w:hint="eastAsia" w:ascii="宋体" w:hAnsi="宋体" w:eastAsia="宋体" w:cs="宋体"/>
                <w:sz w:val="24"/>
                <w:szCs w:val="24"/>
              </w:rPr>
              <w:t>）</w:t>
            </w:r>
          </w:p>
        </w:tc>
      </w:tr>
      <w:tr w14:paraId="0934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25" w:type="dxa"/>
            <w:vMerge w:val="continue"/>
            <w:noWrap w:val="0"/>
            <w:vAlign w:val="center"/>
          </w:tcPr>
          <w:p w14:paraId="26A4D16E">
            <w:pPr>
              <w:spacing w:line="360" w:lineRule="auto"/>
              <w:ind w:left="6" w:hanging="6"/>
              <w:jc w:val="center"/>
              <w:rPr>
                <w:rFonts w:hint="eastAsia" w:ascii="宋体" w:hAnsi="宋体" w:eastAsia="宋体" w:cs="宋体"/>
                <w:sz w:val="24"/>
                <w:szCs w:val="24"/>
              </w:rPr>
            </w:pPr>
          </w:p>
        </w:tc>
        <w:tc>
          <w:tcPr>
            <w:tcW w:w="1074" w:type="dxa"/>
            <w:noWrap w:val="0"/>
            <w:vAlign w:val="center"/>
          </w:tcPr>
          <w:p w14:paraId="21B099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  务方案</w:t>
            </w:r>
          </w:p>
        </w:tc>
        <w:tc>
          <w:tcPr>
            <w:tcW w:w="836" w:type="dxa"/>
            <w:noWrap w:val="0"/>
            <w:vAlign w:val="center"/>
          </w:tcPr>
          <w:p w14:paraId="26F137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9分</w:t>
            </w:r>
          </w:p>
        </w:tc>
        <w:tc>
          <w:tcPr>
            <w:tcW w:w="6364" w:type="dxa"/>
            <w:noWrap w:val="0"/>
            <w:vAlign w:val="center"/>
          </w:tcPr>
          <w:p w14:paraId="45EA2B3A">
            <w:pPr>
              <w:spacing w:line="360" w:lineRule="auto"/>
              <w:rPr>
                <w:rFonts w:hint="eastAsia" w:ascii="宋体" w:hAnsi="宋体" w:eastAsia="宋体" w:cs="宋体"/>
                <w:sz w:val="24"/>
                <w:szCs w:val="24"/>
              </w:rPr>
            </w:pPr>
            <w:r>
              <w:rPr>
                <w:rFonts w:hint="eastAsia" w:ascii="宋体" w:hAnsi="宋体" w:eastAsia="宋体" w:cs="宋体"/>
                <w:sz w:val="24"/>
                <w:szCs w:val="24"/>
              </w:rPr>
              <w:t>1、根据投标人针对本项目提供的售后服务方案（包括但不限于①售后服务流程、②产品退换货流程、③服务响应时间）进行评审：</w:t>
            </w:r>
          </w:p>
          <w:p w14:paraId="1A0EAA02">
            <w:pPr>
              <w:spacing w:line="360" w:lineRule="auto"/>
              <w:rPr>
                <w:rFonts w:hint="eastAsia" w:ascii="宋体" w:hAnsi="宋体" w:eastAsia="宋体" w:cs="宋体"/>
                <w:sz w:val="24"/>
                <w:szCs w:val="24"/>
              </w:rPr>
            </w:pPr>
            <w:r>
              <w:rPr>
                <w:rFonts w:hint="eastAsia" w:ascii="宋体" w:hAnsi="宋体" w:eastAsia="宋体" w:cs="宋体"/>
                <w:sz w:val="24"/>
                <w:szCs w:val="24"/>
              </w:rPr>
              <w:t>（1）售后服务方案科学、完整、详细，能完全切合本项目实际需求且有可行性和可操作性，对可能存在（出现）的问题有前瞻性并有对应的应急预案和解决措施且应急预案和解决措施涵盖全面的得9分；</w:t>
            </w:r>
          </w:p>
          <w:p w14:paraId="197DBF63">
            <w:pPr>
              <w:spacing w:line="360" w:lineRule="auto"/>
              <w:rPr>
                <w:rFonts w:hint="eastAsia" w:ascii="宋体" w:hAnsi="宋体" w:eastAsia="宋体" w:cs="宋体"/>
                <w:sz w:val="24"/>
                <w:szCs w:val="24"/>
              </w:rPr>
            </w:pPr>
            <w:r>
              <w:rPr>
                <w:rFonts w:hint="eastAsia" w:ascii="宋体" w:hAnsi="宋体" w:eastAsia="宋体" w:cs="宋体"/>
                <w:sz w:val="24"/>
                <w:szCs w:val="24"/>
              </w:rPr>
              <w:t>（2）投标人提供的售后服务方案科学、完整、详细，能切合本项目实际需求且有可行性和可操作性，对可能存在（出现）的问题有预判并有对应的应急预案和解决措施但应急预案和解决措施存在局限性的得6分；</w:t>
            </w:r>
          </w:p>
          <w:p w14:paraId="321EBDB7">
            <w:pPr>
              <w:spacing w:line="360" w:lineRule="auto"/>
              <w:rPr>
                <w:rFonts w:hint="eastAsia" w:ascii="宋体" w:hAnsi="宋体" w:eastAsia="宋体" w:cs="宋体"/>
                <w:sz w:val="24"/>
                <w:szCs w:val="24"/>
              </w:rPr>
            </w:pPr>
            <w:r>
              <w:rPr>
                <w:rFonts w:hint="eastAsia" w:ascii="宋体" w:hAnsi="宋体" w:eastAsia="宋体" w:cs="宋体"/>
                <w:sz w:val="24"/>
                <w:szCs w:val="24"/>
              </w:rPr>
              <w:t>（3）投标人提供的售后服务方案存在问题或漏洞，不能切合本项目实际需求且，对可能存在（出现）的问题有没有预判或与实际情况存在偏差，应急预案和解决措施笼统、模糊的得3分；</w:t>
            </w:r>
          </w:p>
          <w:p w14:paraId="7E360222">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（4）其余情况不得分。</w:t>
            </w:r>
          </w:p>
        </w:tc>
      </w:tr>
      <w:tr w14:paraId="51F5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25" w:type="dxa"/>
            <w:vMerge w:val="restart"/>
            <w:noWrap w:val="0"/>
            <w:vAlign w:val="center"/>
          </w:tcPr>
          <w:p w14:paraId="29534C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技术部分50分</w:t>
            </w:r>
          </w:p>
        </w:tc>
        <w:tc>
          <w:tcPr>
            <w:tcW w:w="1074" w:type="dxa"/>
            <w:noWrap w:val="0"/>
            <w:vAlign w:val="center"/>
          </w:tcPr>
          <w:p w14:paraId="69D410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技术响应程度</w:t>
            </w:r>
          </w:p>
        </w:tc>
        <w:tc>
          <w:tcPr>
            <w:tcW w:w="836" w:type="dxa"/>
            <w:noWrap w:val="0"/>
            <w:vAlign w:val="center"/>
          </w:tcPr>
          <w:p w14:paraId="46B420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6364" w:type="dxa"/>
            <w:noWrap w:val="0"/>
            <w:vAlign w:val="center"/>
          </w:tcPr>
          <w:p w14:paraId="1BC4CBC8">
            <w:pPr>
              <w:spacing w:line="360" w:lineRule="auto"/>
              <w:jc w:val="left"/>
              <w:rPr>
                <w:rFonts w:hint="eastAsia" w:ascii="宋体" w:hAnsi="宋体" w:eastAsia="宋体" w:cs="宋体"/>
                <w:sz w:val="24"/>
                <w:szCs w:val="24"/>
              </w:rPr>
            </w:pPr>
            <w:r>
              <w:rPr>
                <w:rFonts w:hint="eastAsia" w:ascii="宋体" w:hAnsi="宋体" w:eastAsia="宋体" w:cs="宋体"/>
                <w:sz w:val="24"/>
                <w:szCs w:val="24"/>
              </w:rPr>
              <w:t>评审委员会根据技术需求参数响应情况进行打分，除不可偏离项外，各项技术参数指标及要求全部满足的得满分，每负偏离一项扣2分，最低得0分。</w:t>
            </w:r>
          </w:p>
        </w:tc>
      </w:tr>
      <w:tr w14:paraId="6BE7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25" w:type="dxa"/>
            <w:vMerge w:val="continue"/>
            <w:noWrap w:val="0"/>
            <w:vAlign w:val="center"/>
          </w:tcPr>
          <w:p w14:paraId="68A23440">
            <w:pPr>
              <w:spacing w:line="360" w:lineRule="auto"/>
              <w:jc w:val="center"/>
              <w:rPr>
                <w:rFonts w:hint="eastAsia" w:ascii="宋体" w:hAnsi="宋体" w:eastAsia="宋体" w:cs="宋体"/>
                <w:sz w:val="24"/>
                <w:szCs w:val="24"/>
              </w:rPr>
            </w:pPr>
          </w:p>
        </w:tc>
        <w:tc>
          <w:tcPr>
            <w:tcW w:w="1074" w:type="dxa"/>
            <w:noWrap w:val="0"/>
            <w:vAlign w:val="center"/>
          </w:tcPr>
          <w:p w14:paraId="5F169A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样品质量</w:t>
            </w:r>
          </w:p>
        </w:tc>
        <w:tc>
          <w:tcPr>
            <w:tcW w:w="836" w:type="dxa"/>
            <w:noWrap w:val="0"/>
            <w:vAlign w:val="center"/>
          </w:tcPr>
          <w:p w14:paraId="5D5B3E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6364" w:type="dxa"/>
            <w:noWrap w:val="0"/>
            <w:vAlign w:val="center"/>
          </w:tcPr>
          <w:p w14:paraId="3FFC354C">
            <w:pPr>
              <w:spacing w:line="360" w:lineRule="auto"/>
              <w:jc w:val="left"/>
              <w:rPr>
                <w:rFonts w:hint="eastAsia" w:ascii="宋体" w:hAnsi="宋体" w:eastAsia="宋体" w:cs="宋体"/>
                <w:sz w:val="24"/>
                <w:szCs w:val="24"/>
              </w:rPr>
            </w:pPr>
            <w:r>
              <w:rPr>
                <w:rFonts w:hint="eastAsia" w:ascii="宋体" w:hAnsi="宋体" w:eastAsia="宋体" w:cs="宋体"/>
                <w:sz w:val="24"/>
                <w:szCs w:val="24"/>
              </w:rPr>
              <w:t>评标委员会根据具体响应内容(包括但不限于性能、材质、工艺等)进一步评审:</w:t>
            </w:r>
          </w:p>
          <w:p w14:paraId="5BB74CE7">
            <w:pPr>
              <w:spacing w:line="360" w:lineRule="auto"/>
              <w:jc w:val="left"/>
              <w:rPr>
                <w:rFonts w:hint="eastAsia" w:ascii="宋体" w:hAnsi="宋体" w:eastAsia="宋体" w:cs="宋体"/>
                <w:sz w:val="24"/>
                <w:szCs w:val="24"/>
              </w:rPr>
            </w:pPr>
            <w:r>
              <w:rPr>
                <w:rFonts w:hint="eastAsia" w:ascii="宋体" w:hAnsi="宋体" w:eastAsia="宋体" w:cs="宋体"/>
                <w:sz w:val="24"/>
                <w:szCs w:val="24"/>
              </w:rPr>
              <w:t>（1）样品材质、外观、尺寸偏差、颜色、触感、设计理念、主材厚度和贴面材料质量好，工艺精致，设计合理精美</w:t>
            </w:r>
            <w:r>
              <w:rPr>
                <w:rFonts w:hint="eastAsia" w:ascii="宋体" w:hAnsi="宋体" w:eastAsia="宋体" w:cs="宋体"/>
                <w:sz w:val="24"/>
                <w:szCs w:val="24"/>
                <w:lang w:val="en-US" w:eastAsia="zh-CN"/>
              </w:rPr>
              <w:t>且优于采购需求</w:t>
            </w:r>
            <w:r>
              <w:rPr>
                <w:rFonts w:hint="eastAsia" w:ascii="宋体" w:hAnsi="宋体" w:eastAsia="宋体" w:cs="宋体"/>
                <w:sz w:val="24"/>
                <w:szCs w:val="24"/>
              </w:rPr>
              <w:t>得30分；</w:t>
            </w:r>
          </w:p>
          <w:p w14:paraId="10A02443">
            <w:pPr>
              <w:spacing w:line="360" w:lineRule="auto"/>
              <w:jc w:val="left"/>
              <w:rPr>
                <w:rFonts w:hint="eastAsia" w:ascii="宋体" w:hAnsi="宋体" w:eastAsia="宋体" w:cs="宋体"/>
                <w:sz w:val="24"/>
                <w:szCs w:val="24"/>
              </w:rPr>
            </w:pPr>
            <w:r>
              <w:rPr>
                <w:rFonts w:hint="eastAsia" w:ascii="宋体" w:hAnsi="宋体" w:eastAsia="宋体" w:cs="宋体"/>
                <w:sz w:val="24"/>
                <w:szCs w:val="24"/>
              </w:rPr>
              <w:t>（2）样品材质、外观、尺寸偏差、颜色、触感、设计理念、主材厚度和贴面材料质量</w:t>
            </w:r>
            <w:r>
              <w:rPr>
                <w:rFonts w:hint="eastAsia" w:ascii="宋体" w:hAnsi="宋体" w:eastAsia="宋体" w:cs="宋体"/>
                <w:sz w:val="24"/>
                <w:szCs w:val="24"/>
                <w:lang w:val="en-US" w:eastAsia="zh-CN"/>
              </w:rPr>
              <w:t>良好</w:t>
            </w:r>
            <w:r>
              <w:rPr>
                <w:rFonts w:hint="eastAsia" w:ascii="宋体" w:hAnsi="宋体" w:eastAsia="宋体" w:cs="宋体"/>
                <w:sz w:val="24"/>
                <w:szCs w:val="24"/>
              </w:rPr>
              <w:t>，</w:t>
            </w:r>
            <w:r>
              <w:rPr>
                <w:rFonts w:hint="eastAsia" w:ascii="宋体" w:hAnsi="宋体" w:eastAsia="宋体" w:cs="宋体"/>
                <w:sz w:val="24"/>
                <w:szCs w:val="24"/>
                <w:lang w:val="en-US" w:eastAsia="zh-CN"/>
              </w:rPr>
              <w:t>符合采购需求</w:t>
            </w:r>
            <w:r>
              <w:rPr>
                <w:rFonts w:hint="eastAsia" w:ascii="宋体" w:hAnsi="宋体" w:eastAsia="宋体" w:cs="宋体"/>
                <w:sz w:val="24"/>
                <w:szCs w:val="24"/>
              </w:rPr>
              <w:t>,得20分；</w:t>
            </w:r>
          </w:p>
          <w:p w14:paraId="5604F094">
            <w:pPr>
              <w:spacing w:line="360" w:lineRule="auto"/>
              <w:jc w:val="left"/>
              <w:rPr>
                <w:rFonts w:hint="eastAsia" w:ascii="宋体" w:hAnsi="宋体" w:eastAsia="宋体" w:cs="宋体"/>
                <w:sz w:val="24"/>
                <w:szCs w:val="24"/>
              </w:rPr>
            </w:pPr>
            <w:r>
              <w:rPr>
                <w:rFonts w:hint="eastAsia" w:ascii="宋体" w:hAnsi="宋体" w:eastAsia="宋体" w:cs="宋体"/>
                <w:sz w:val="24"/>
                <w:szCs w:val="24"/>
              </w:rPr>
              <w:t>（3）样品材质、外观、尺寸偏差、颜色、触感、设计理念、主材厚度和贴面材料质量中有存在缺陷，或制作工艺普通、设计普通的,得10分；</w:t>
            </w:r>
          </w:p>
          <w:p w14:paraId="35C3E198">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样品提供不齐全不得份，不</w:t>
            </w:r>
            <w:r>
              <w:rPr>
                <w:rFonts w:hint="eastAsia" w:ascii="宋体" w:hAnsi="宋体" w:eastAsia="宋体" w:cs="宋体"/>
                <w:sz w:val="24"/>
                <w:szCs w:val="24"/>
              </w:rPr>
              <w:t>提供作为无效响应处理。</w:t>
            </w:r>
          </w:p>
        </w:tc>
      </w:tr>
      <w:tr w14:paraId="372B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5" w:type="dxa"/>
            <w:vMerge w:val="continue"/>
            <w:noWrap w:val="0"/>
            <w:vAlign w:val="center"/>
          </w:tcPr>
          <w:p w14:paraId="37A4C8E5">
            <w:pPr>
              <w:spacing w:line="360" w:lineRule="auto"/>
              <w:rPr>
                <w:rFonts w:hint="eastAsia" w:ascii="宋体" w:hAnsi="宋体" w:eastAsia="宋体" w:cs="宋体"/>
                <w:sz w:val="24"/>
                <w:szCs w:val="24"/>
              </w:rPr>
            </w:pPr>
          </w:p>
        </w:tc>
        <w:tc>
          <w:tcPr>
            <w:tcW w:w="1074" w:type="dxa"/>
            <w:noWrap w:val="0"/>
            <w:vAlign w:val="center"/>
          </w:tcPr>
          <w:p w14:paraId="1607A1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检测报告</w:t>
            </w:r>
          </w:p>
        </w:tc>
        <w:tc>
          <w:tcPr>
            <w:tcW w:w="836" w:type="dxa"/>
            <w:noWrap w:val="0"/>
            <w:vAlign w:val="center"/>
          </w:tcPr>
          <w:p w14:paraId="609946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6364" w:type="dxa"/>
            <w:noWrap w:val="0"/>
            <w:vAlign w:val="center"/>
          </w:tcPr>
          <w:p w14:paraId="596AD2FD">
            <w:pPr>
              <w:spacing w:line="360" w:lineRule="auto"/>
              <w:rPr>
                <w:rFonts w:hint="eastAsia" w:ascii="宋体" w:hAnsi="宋体" w:eastAsia="宋体" w:cs="宋体"/>
                <w:sz w:val="24"/>
                <w:szCs w:val="24"/>
              </w:rPr>
            </w:pPr>
            <w:bookmarkStart w:id="157" w:name="OLE_LINK14"/>
            <w:bookmarkStart w:id="158" w:name="OLE_LINK13"/>
            <w:r>
              <w:rPr>
                <w:rFonts w:hint="eastAsia" w:ascii="宋体" w:hAnsi="宋体" w:eastAsia="宋体" w:cs="宋体"/>
                <w:bCs/>
                <w:kern w:val="0"/>
                <w:sz w:val="24"/>
                <w:szCs w:val="24"/>
                <w:lang w:bidi="ar"/>
              </w:rPr>
              <w:t>提供有效期内经第三方检测机构出具的质量检测报告</w:t>
            </w:r>
            <w:bookmarkEnd w:id="157"/>
            <w:bookmarkEnd w:id="158"/>
            <w:bookmarkStart w:id="159" w:name="OLE_LINK10"/>
            <w:bookmarkStart w:id="160" w:name="OLE_LINK11"/>
            <w:r>
              <w:rPr>
                <w:rFonts w:hint="eastAsia" w:ascii="宋体" w:hAnsi="宋体" w:eastAsia="宋体" w:cs="宋体"/>
                <w:bCs/>
                <w:kern w:val="0"/>
                <w:sz w:val="24"/>
                <w:szCs w:val="24"/>
                <w:lang w:bidi="ar"/>
              </w:rPr>
              <w:t>，提供得10分，</w:t>
            </w:r>
            <w:r>
              <w:rPr>
                <w:rFonts w:hint="eastAsia" w:ascii="宋体" w:hAnsi="宋体" w:eastAsia="宋体" w:cs="宋体"/>
                <w:bCs/>
                <w:sz w:val="24"/>
                <w:szCs w:val="24"/>
              </w:rPr>
              <w:t>未提供不得分</w:t>
            </w:r>
            <w:r>
              <w:rPr>
                <w:rFonts w:hint="eastAsia" w:ascii="宋体" w:hAnsi="宋体" w:eastAsia="宋体" w:cs="宋体"/>
                <w:sz w:val="24"/>
                <w:szCs w:val="24"/>
              </w:rPr>
              <w:t>。</w:t>
            </w:r>
            <w:bookmarkEnd w:id="159"/>
            <w:bookmarkEnd w:id="160"/>
          </w:p>
        </w:tc>
      </w:tr>
    </w:tbl>
    <w:p w14:paraId="25812D6F">
      <w:pPr>
        <w:spacing w:line="360" w:lineRule="auto"/>
        <w:rPr>
          <w:rFonts w:hint="eastAsia" w:ascii="宋体" w:hAnsi="宋体" w:eastAsia="宋体" w:cs="宋体"/>
          <w:sz w:val="24"/>
          <w:szCs w:val="24"/>
        </w:rPr>
      </w:pPr>
      <w:r>
        <w:rPr>
          <w:rFonts w:hint="eastAsia" w:ascii="宋体" w:hAnsi="宋体" w:eastAsia="宋体" w:cs="宋体"/>
          <w:sz w:val="24"/>
          <w:szCs w:val="24"/>
          <w:lang w:val="zh-TW" w:eastAsia="zh-TW"/>
        </w:rPr>
        <w:t>注：</w:t>
      </w:r>
      <w:r>
        <w:rPr>
          <w:rFonts w:hint="eastAsia" w:ascii="宋体" w:hAnsi="宋体" w:eastAsia="宋体" w:cs="宋体"/>
          <w:sz w:val="24"/>
          <w:szCs w:val="24"/>
        </w:rPr>
        <w:t>①</w:t>
      </w:r>
      <w:r>
        <w:rPr>
          <w:rFonts w:hint="eastAsia" w:ascii="宋体" w:hAnsi="宋体" w:eastAsia="宋体" w:cs="宋体"/>
          <w:sz w:val="24"/>
          <w:szCs w:val="24"/>
          <w:lang w:val="zh-TW" w:eastAsia="zh-TW"/>
        </w:rPr>
        <w:t>以上各评分项，若有缺项则该项不得</w:t>
      </w:r>
      <w:r>
        <w:rPr>
          <w:rFonts w:hint="eastAsia" w:ascii="宋体" w:hAnsi="宋体" w:eastAsia="宋体" w:cs="宋体"/>
          <w:sz w:val="24"/>
          <w:szCs w:val="24"/>
          <w:lang w:val="zh-TW"/>
        </w:rPr>
        <w:t>分。</w:t>
      </w:r>
    </w:p>
    <w:p w14:paraId="704F9C65">
      <w:pPr>
        <w:spacing w:line="360" w:lineRule="auto"/>
        <w:ind w:firstLine="480" w:firstLineChars="200"/>
        <w:rPr>
          <w:sz w:val="36"/>
          <w:szCs w:val="28"/>
        </w:rPr>
      </w:pPr>
      <w:r>
        <w:rPr>
          <w:rFonts w:hint="eastAsia" w:ascii="宋体" w:hAnsi="宋体" w:eastAsia="宋体" w:cs="宋体"/>
          <w:sz w:val="24"/>
          <w:szCs w:val="24"/>
        </w:rPr>
        <w:t>②</w:t>
      </w:r>
      <w:r>
        <w:rPr>
          <w:rFonts w:hint="eastAsia" w:ascii="宋体" w:hAnsi="宋体" w:eastAsia="宋体" w:cs="宋体"/>
          <w:sz w:val="24"/>
          <w:szCs w:val="24"/>
          <w:lang w:val="zh-TW" w:eastAsia="zh-TW"/>
        </w:rPr>
        <w:t>计分过程中按四舍五入的法则，最终结果取至小数点后</w:t>
      </w:r>
      <w:r>
        <w:rPr>
          <w:rFonts w:hint="eastAsia" w:ascii="宋体" w:hAnsi="宋体" w:eastAsia="宋体" w:cs="宋体"/>
          <w:sz w:val="24"/>
          <w:szCs w:val="24"/>
        </w:rPr>
        <w:t>2</w:t>
      </w:r>
      <w:r>
        <w:rPr>
          <w:rFonts w:hint="eastAsia" w:ascii="宋体" w:hAnsi="宋体" w:eastAsia="宋体" w:cs="宋体"/>
          <w:sz w:val="24"/>
          <w:szCs w:val="24"/>
          <w:lang w:val="zh-TW" w:eastAsia="zh-TW"/>
        </w:rPr>
        <w:t>位。</w:t>
      </w:r>
      <w:r>
        <w:rPr>
          <w:rFonts w:hint="eastAsia" w:ascii="宋体" w:hAnsi="宋体" w:eastAsia="宋体" w:cs="宋体"/>
          <w:kern w:val="0"/>
          <w:sz w:val="24"/>
          <w:szCs w:val="24"/>
        </w:rPr>
        <w:t>评审委员会对满足遴选文件实质性要求的遴选响应文件，按照遴选文件规定的评分标准进行打分，评分最高的为中标供应商。综合评分相等时，以响应报价得分高的优先；响应报价得分也相等时，由技术部分得分高的优先；技术部分得分也相等时，</w:t>
      </w:r>
      <w:r>
        <w:rPr>
          <w:rFonts w:hint="eastAsia" w:ascii="宋体" w:hAnsi="宋体" w:eastAsia="宋体" w:cs="宋体"/>
          <w:sz w:val="24"/>
          <w:szCs w:val="24"/>
        </w:rPr>
        <w:t>则在纪检办公室人员的监督下，随机抽取一家</w:t>
      </w:r>
      <w:r>
        <w:rPr>
          <w:rFonts w:hint="eastAsia" w:ascii="宋体" w:hAnsi="宋体" w:eastAsia="宋体" w:cs="宋体"/>
          <w:kern w:val="0"/>
          <w:sz w:val="24"/>
          <w:szCs w:val="24"/>
        </w:rPr>
        <w:t>。</w:t>
      </w:r>
      <w:r>
        <w:rPr>
          <w:sz w:val="36"/>
          <w:szCs w:val="28"/>
        </w:rPr>
        <w:br w:type="page"/>
      </w:r>
    </w:p>
    <w:p w14:paraId="61F449FF">
      <w:pPr>
        <w:spacing w:line="360" w:lineRule="auto"/>
        <w:ind w:firstLine="720" w:firstLineChars="200"/>
        <w:rPr>
          <w:sz w:val="36"/>
          <w:szCs w:val="28"/>
        </w:rPr>
      </w:pPr>
    </w:p>
    <w:p w14:paraId="111A28EC">
      <w:pPr>
        <w:pStyle w:val="3"/>
        <w:keepNext w:val="0"/>
        <w:keepLines w:val="0"/>
        <w:spacing w:before="0" w:after="0" w:line="360" w:lineRule="auto"/>
        <w:jc w:val="center"/>
        <w:rPr>
          <w:rFonts w:ascii="Times New Roman"/>
          <w:sz w:val="36"/>
          <w:szCs w:val="28"/>
        </w:rPr>
      </w:pPr>
      <w:bookmarkStart w:id="161" w:name="_Toc169861824"/>
      <w:r>
        <w:rPr>
          <w:rFonts w:ascii="Times New Roman"/>
          <w:sz w:val="36"/>
          <w:szCs w:val="28"/>
        </w:rPr>
        <w:t>第</w:t>
      </w:r>
      <w:r>
        <w:rPr>
          <w:rFonts w:hint="eastAsia" w:ascii="Times New Roman"/>
          <w:sz w:val="36"/>
          <w:szCs w:val="28"/>
          <w:lang w:val="en-US" w:eastAsia="zh-CN"/>
        </w:rPr>
        <w:t>四</w:t>
      </w:r>
      <w:r>
        <w:rPr>
          <w:rFonts w:ascii="Times New Roman"/>
          <w:sz w:val="36"/>
          <w:szCs w:val="28"/>
        </w:rPr>
        <w:t>部分</w:t>
      </w:r>
      <w:bookmarkEnd w:id="144"/>
      <w:bookmarkEnd w:id="145"/>
      <w:bookmarkEnd w:id="146"/>
      <w:bookmarkEnd w:id="147"/>
      <w:bookmarkEnd w:id="148"/>
      <w:bookmarkStart w:id="162" w:name="_Toc51939458"/>
      <w:bookmarkStart w:id="163" w:name="_Toc56353013"/>
      <w:bookmarkStart w:id="164" w:name="_Toc231028109"/>
      <w:bookmarkStart w:id="165" w:name="_Toc51756493"/>
      <w:bookmarkStart w:id="166" w:name="_Toc52021540"/>
      <w:bookmarkStart w:id="167" w:name="_Toc52027928"/>
      <w:r>
        <w:rPr>
          <w:rFonts w:hint="eastAsia" w:ascii="Times New Roman"/>
          <w:sz w:val="36"/>
          <w:szCs w:val="28"/>
        </w:rPr>
        <w:t xml:space="preserve"> 合同</w:t>
      </w:r>
      <w:r>
        <w:rPr>
          <w:rFonts w:ascii="Times New Roman"/>
          <w:sz w:val="36"/>
          <w:szCs w:val="28"/>
        </w:rPr>
        <w:t>书格式</w:t>
      </w:r>
      <w:bookmarkEnd w:id="161"/>
      <w:bookmarkEnd w:id="162"/>
      <w:bookmarkEnd w:id="163"/>
      <w:bookmarkEnd w:id="164"/>
      <w:bookmarkEnd w:id="165"/>
      <w:bookmarkEnd w:id="166"/>
      <w:bookmarkEnd w:id="167"/>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49"/>
    <w:bookmarkEnd w:id="150"/>
    <w:bookmarkEnd w:id="151"/>
    <w:bookmarkEnd w:id="152"/>
    <w:bookmarkEnd w:id="153"/>
    <w:bookmarkEnd w:id="154"/>
    <w:p w14:paraId="2EE446BC">
      <w:pPr>
        <w:widowControl/>
        <w:jc w:val="left"/>
        <w:rPr>
          <w:rFonts w:ascii="宋体" w:hAnsi="宋体" w:eastAsia="宋体"/>
          <w:color w:val="000000"/>
          <w:sz w:val="24"/>
          <w:szCs w:val="24"/>
        </w:rPr>
      </w:pPr>
      <w:bookmarkStart w:id="168" w:name="_Toc130700696"/>
      <w:bookmarkStart w:id="169" w:name="_Toc465148449"/>
      <w:bookmarkStart w:id="170" w:name="_Toc206902161"/>
      <w:bookmarkStart w:id="171" w:name="_Toc130745579"/>
      <w:bookmarkStart w:id="172" w:name="_Toc463067548"/>
      <w:bookmarkStart w:id="173" w:name="_Toc525038118"/>
      <w:bookmarkStart w:id="174" w:name="_Toc179863374"/>
      <w:bookmarkStart w:id="175" w:name="_Toc463071379"/>
      <w:bookmarkStart w:id="176" w:name="_Toc463071832"/>
      <w:bookmarkStart w:id="177" w:name="_Toc68692538"/>
      <w:bookmarkStart w:id="178" w:name="_Toc52027930"/>
      <w:bookmarkStart w:id="179" w:name="_Toc52021542"/>
      <w:bookmarkStart w:id="180" w:name="_Toc51939472"/>
      <w:bookmarkStart w:id="181" w:name="_Toc51756507"/>
      <w:bookmarkStart w:id="182" w:name="_Toc56353015"/>
      <w:bookmarkStart w:id="183" w:name="_Toc476976199"/>
      <w:bookmarkStart w:id="184" w:name="_Toc454701404"/>
      <w:bookmarkStart w:id="185" w:name="_Toc458262637"/>
      <w:bookmarkStart w:id="186" w:name="_Toc467236767"/>
      <w:bookmarkStart w:id="187" w:name="_Toc486671571"/>
      <w:r>
        <w:br w:type="page"/>
      </w:r>
      <w:bookmarkStart w:id="188" w:name="_Toc78354640"/>
    </w:p>
    <w:p w14:paraId="7F3B997F">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开平市中心医院202</w:t>
      </w:r>
      <w:r>
        <w:rPr>
          <w:rFonts w:hint="eastAsia" w:ascii="宋体" w:hAnsi="宋体" w:eastAsia="宋体" w:cs="宋体"/>
          <w:b/>
          <w:bCs/>
          <w:kern w:val="0"/>
          <w:sz w:val="32"/>
          <w:szCs w:val="32"/>
          <w:lang w:val="en-US" w:eastAsia="zh-CN"/>
        </w:rPr>
        <w:t>5</w:t>
      </w:r>
      <w:r>
        <w:rPr>
          <w:rFonts w:hint="eastAsia" w:ascii="宋体" w:hAnsi="宋体" w:eastAsia="宋体" w:cs="宋体"/>
          <w:b/>
          <w:bCs/>
          <w:kern w:val="0"/>
          <w:sz w:val="32"/>
          <w:szCs w:val="32"/>
        </w:rPr>
        <w:t>年护士鞋</w:t>
      </w:r>
      <w:r>
        <w:rPr>
          <w:rFonts w:hint="eastAsia" w:ascii="宋体" w:hAnsi="宋体" w:eastAsia="宋体" w:cs="宋体"/>
          <w:b/>
          <w:bCs/>
          <w:kern w:val="0"/>
          <w:sz w:val="32"/>
          <w:szCs w:val="32"/>
          <w:lang w:val="en-US" w:eastAsia="zh-CN"/>
        </w:rPr>
        <w:t>采购项目</w:t>
      </w:r>
      <w:r>
        <w:rPr>
          <w:rFonts w:hint="eastAsia" w:ascii="宋体" w:hAnsi="宋体" w:eastAsia="宋体" w:cs="宋体"/>
          <w:b/>
          <w:bCs/>
          <w:kern w:val="0"/>
          <w:sz w:val="32"/>
          <w:szCs w:val="32"/>
        </w:rPr>
        <w:t>购销合同</w:t>
      </w:r>
    </w:p>
    <w:p w14:paraId="438D29AC">
      <w:pPr>
        <w:autoSpaceDE w:val="0"/>
        <w:autoSpaceDN w:val="0"/>
        <w:adjustRightInd w:val="0"/>
        <w:spacing w:line="360" w:lineRule="auto"/>
        <w:ind w:firstLine="422" w:firstLineChars="20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（合同模板）</w:t>
      </w: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55E27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甲乙双方根据《中华人民共和国民法典》，在平等互利、协商一致的基础上，买方同意向卖方购买同时卖方同意授予买方以下货物：</w:t>
      </w:r>
    </w:p>
    <w:tbl>
      <w:tblPr>
        <w:tblStyle w:val="42"/>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440"/>
        <w:gridCol w:w="1943"/>
        <w:gridCol w:w="898"/>
        <w:gridCol w:w="898"/>
        <w:gridCol w:w="898"/>
        <w:gridCol w:w="898"/>
        <w:gridCol w:w="900"/>
      </w:tblGrid>
      <w:tr w14:paraId="5CAE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F62BD0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155" w:type="dxa"/>
            <w:noWrap w:val="0"/>
            <w:vAlign w:val="center"/>
          </w:tcPr>
          <w:p w14:paraId="41CE997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w:t>
            </w:r>
          </w:p>
          <w:p w14:paraId="53A9316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83" w:type="dxa"/>
            <w:gridSpan w:val="2"/>
            <w:noWrap w:val="0"/>
            <w:vAlign w:val="center"/>
          </w:tcPr>
          <w:p w14:paraId="0B33CE8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产品参数</w:t>
            </w:r>
          </w:p>
        </w:tc>
        <w:tc>
          <w:tcPr>
            <w:tcW w:w="898" w:type="dxa"/>
            <w:noWrap w:val="0"/>
            <w:vAlign w:val="center"/>
          </w:tcPr>
          <w:p w14:paraId="3BF25F5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颜色</w:t>
            </w:r>
          </w:p>
        </w:tc>
        <w:tc>
          <w:tcPr>
            <w:tcW w:w="898" w:type="dxa"/>
            <w:noWrap w:val="0"/>
            <w:vAlign w:val="center"/>
          </w:tcPr>
          <w:p w14:paraId="365BD5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尺码范围</w:t>
            </w:r>
          </w:p>
        </w:tc>
        <w:tc>
          <w:tcPr>
            <w:tcW w:w="898" w:type="dxa"/>
            <w:noWrap w:val="0"/>
            <w:vAlign w:val="center"/>
          </w:tcPr>
          <w:p w14:paraId="1D73331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898" w:type="dxa"/>
            <w:noWrap w:val="0"/>
            <w:vAlign w:val="center"/>
          </w:tcPr>
          <w:p w14:paraId="2DA65B0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 （对）</w:t>
            </w:r>
          </w:p>
        </w:tc>
        <w:tc>
          <w:tcPr>
            <w:tcW w:w="900" w:type="dxa"/>
            <w:noWrap w:val="0"/>
            <w:vAlign w:val="center"/>
          </w:tcPr>
          <w:p w14:paraId="6685EB6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合计（元）</w:t>
            </w:r>
          </w:p>
        </w:tc>
      </w:tr>
      <w:tr w14:paraId="57F0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738" w:type="dxa"/>
            <w:noWrap w:val="0"/>
            <w:vAlign w:val="center"/>
          </w:tcPr>
          <w:p w14:paraId="50383B0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5" w:type="dxa"/>
            <w:noWrap w:val="0"/>
            <w:vAlign w:val="center"/>
          </w:tcPr>
          <w:p w14:paraId="29A493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护士鞋</w:t>
            </w:r>
          </w:p>
        </w:tc>
        <w:tc>
          <w:tcPr>
            <w:tcW w:w="3383" w:type="dxa"/>
            <w:gridSpan w:val="2"/>
            <w:noWrap w:val="0"/>
            <w:vAlign w:val="center"/>
          </w:tcPr>
          <w:p w14:paraId="729477A3">
            <w:pPr>
              <w:spacing w:line="360" w:lineRule="auto"/>
              <w:jc w:val="center"/>
              <w:rPr>
                <w:rFonts w:hint="eastAsia" w:ascii="宋体" w:hAnsi="宋体" w:eastAsia="宋体" w:cs="宋体"/>
                <w:color w:val="000000"/>
                <w:sz w:val="24"/>
                <w:szCs w:val="24"/>
              </w:rPr>
            </w:pPr>
          </w:p>
        </w:tc>
        <w:tc>
          <w:tcPr>
            <w:tcW w:w="898" w:type="dxa"/>
            <w:noWrap w:val="0"/>
            <w:vAlign w:val="center"/>
          </w:tcPr>
          <w:p w14:paraId="317B96C8">
            <w:pPr>
              <w:spacing w:line="360" w:lineRule="auto"/>
              <w:jc w:val="center"/>
              <w:rPr>
                <w:rFonts w:hint="eastAsia" w:ascii="宋体" w:hAnsi="宋体" w:eastAsia="宋体" w:cs="宋体"/>
                <w:color w:val="000000"/>
                <w:sz w:val="24"/>
                <w:szCs w:val="24"/>
              </w:rPr>
            </w:pPr>
          </w:p>
        </w:tc>
        <w:tc>
          <w:tcPr>
            <w:tcW w:w="898" w:type="dxa"/>
            <w:noWrap w:val="0"/>
            <w:vAlign w:val="center"/>
          </w:tcPr>
          <w:p w14:paraId="0167D2EB">
            <w:pPr>
              <w:spacing w:line="360" w:lineRule="auto"/>
              <w:jc w:val="center"/>
              <w:rPr>
                <w:rFonts w:hint="eastAsia" w:ascii="宋体" w:hAnsi="宋体" w:eastAsia="宋体" w:cs="宋体"/>
                <w:color w:val="000000"/>
                <w:sz w:val="24"/>
                <w:szCs w:val="24"/>
              </w:rPr>
            </w:pPr>
          </w:p>
        </w:tc>
        <w:tc>
          <w:tcPr>
            <w:tcW w:w="898" w:type="dxa"/>
            <w:noWrap w:val="0"/>
            <w:vAlign w:val="center"/>
          </w:tcPr>
          <w:p w14:paraId="3D14BDD0">
            <w:pPr>
              <w:spacing w:line="360" w:lineRule="auto"/>
              <w:jc w:val="center"/>
              <w:rPr>
                <w:rFonts w:hint="eastAsia" w:ascii="宋体" w:hAnsi="宋体" w:eastAsia="宋体" w:cs="宋体"/>
                <w:color w:val="000000"/>
                <w:sz w:val="24"/>
                <w:szCs w:val="24"/>
              </w:rPr>
            </w:pPr>
          </w:p>
        </w:tc>
        <w:tc>
          <w:tcPr>
            <w:tcW w:w="898" w:type="dxa"/>
            <w:noWrap w:val="0"/>
            <w:vAlign w:val="center"/>
          </w:tcPr>
          <w:p w14:paraId="2D35E4B2">
            <w:pPr>
              <w:spacing w:line="360" w:lineRule="auto"/>
              <w:jc w:val="center"/>
              <w:rPr>
                <w:rFonts w:hint="eastAsia" w:ascii="宋体" w:hAnsi="宋体" w:eastAsia="宋体" w:cs="宋体"/>
                <w:color w:val="000000"/>
                <w:sz w:val="24"/>
                <w:szCs w:val="24"/>
              </w:rPr>
            </w:pPr>
          </w:p>
        </w:tc>
        <w:tc>
          <w:tcPr>
            <w:tcW w:w="900" w:type="dxa"/>
            <w:noWrap w:val="0"/>
            <w:vAlign w:val="center"/>
          </w:tcPr>
          <w:p w14:paraId="509D5CA7">
            <w:pPr>
              <w:spacing w:line="360" w:lineRule="auto"/>
              <w:jc w:val="center"/>
              <w:rPr>
                <w:rFonts w:hint="eastAsia" w:ascii="宋体" w:hAnsi="宋体" w:eastAsia="宋体" w:cs="宋体"/>
                <w:color w:val="000000"/>
                <w:sz w:val="24"/>
                <w:szCs w:val="24"/>
              </w:rPr>
            </w:pPr>
          </w:p>
        </w:tc>
      </w:tr>
      <w:tr w14:paraId="0A9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3" w:type="dxa"/>
            <w:gridSpan w:val="2"/>
            <w:noWrap w:val="0"/>
            <w:vAlign w:val="center"/>
          </w:tcPr>
          <w:p w14:paraId="4663CBE0">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交货期</w:t>
            </w:r>
          </w:p>
          <w:p w14:paraId="73833442">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（日历天）</w:t>
            </w:r>
          </w:p>
        </w:tc>
        <w:tc>
          <w:tcPr>
            <w:tcW w:w="1440" w:type="dxa"/>
            <w:noWrap w:val="0"/>
            <w:vAlign w:val="center"/>
          </w:tcPr>
          <w:p w14:paraId="143DA91F">
            <w:pPr>
              <w:pStyle w:val="2"/>
              <w:spacing w:line="360" w:lineRule="auto"/>
              <w:jc w:val="center"/>
              <w:rPr>
                <w:rFonts w:hint="eastAsia" w:ascii="宋体" w:hAnsi="宋体" w:eastAsia="宋体" w:cs="宋体"/>
                <w:sz w:val="24"/>
                <w:szCs w:val="24"/>
              </w:rPr>
            </w:pPr>
          </w:p>
        </w:tc>
        <w:tc>
          <w:tcPr>
            <w:tcW w:w="1943" w:type="dxa"/>
            <w:noWrap w:val="0"/>
            <w:vAlign w:val="center"/>
          </w:tcPr>
          <w:p w14:paraId="4FF026AE">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4492" w:type="dxa"/>
            <w:gridSpan w:val="5"/>
            <w:noWrap w:val="0"/>
            <w:vAlign w:val="center"/>
          </w:tcPr>
          <w:p w14:paraId="2C58F02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开平市中心医院指定地点</w:t>
            </w:r>
          </w:p>
        </w:tc>
      </w:tr>
    </w:tbl>
    <w:p w14:paraId="484FE0EE">
      <w:pPr>
        <w:spacing w:line="360" w:lineRule="auto"/>
        <w:rPr>
          <w:rFonts w:hint="eastAsia" w:ascii="宋体" w:hAnsi="宋体" w:eastAsia="宋体" w:cs="宋体"/>
          <w:b/>
          <w:bCs/>
          <w:sz w:val="24"/>
          <w:szCs w:val="24"/>
        </w:rPr>
      </w:pPr>
    </w:p>
    <w:p w14:paraId="5205E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合同服务期：</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   月   日至202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   月   日</w:t>
      </w:r>
    </w:p>
    <w:p w14:paraId="54609D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交付期：乙方接到甲方通知</w:t>
      </w:r>
      <w:r>
        <w:rPr>
          <w:rFonts w:hint="eastAsia" w:ascii="宋体" w:hAnsi="宋体" w:eastAsia="宋体" w:cs="宋体"/>
          <w:b/>
          <w:bCs/>
          <w:color w:val="auto"/>
          <w:sz w:val="24"/>
          <w:szCs w:val="24"/>
          <w:u w:val="single"/>
        </w:rPr>
        <w:t xml:space="preserve">    </w:t>
      </w:r>
      <w:r>
        <w:rPr>
          <w:rFonts w:hint="eastAsia" w:ascii="宋体" w:hAnsi="宋体" w:eastAsia="宋体" w:cs="宋体"/>
          <w:b/>
          <w:bCs/>
          <w:sz w:val="24"/>
          <w:szCs w:val="24"/>
        </w:rPr>
        <w:t>天内向甲方交付上述货物。</w:t>
      </w:r>
    </w:p>
    <w:p w14:paraId="28812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运输、安装和验收</w:t>
      </w:r>
    </w:p>
    <w:p w14:paraId="3FDAC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乙方确保货物安全无损地运抵甲方指定现场，并承担货物的运费、装卸费等费用。乙方还应在发货前通知甲方货物的运输信息以及到货时间，以便甲方做好验货准备。</w:t>
      </w:r>
    </w:p>
    <w:p w14:paraId="38B0C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4.2甲乙双方对货物进行开箱清点检查验收，如果发现数量不足或有质量、技术等问题，乙方应</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天</w:t>
      </w:r>
      <w:r>
        <w:rPr>
          <w:rFonts w:hint="eastAsia" w:ascii="宋体" w:hAnsi="宋体" w:eastAsia="宋体" w:cs="宋体"/>
          <w:sz w:val="24"/>
          <w:szCs w:val="24"/>
        </w:rPr>
        <w:t>内，按照甲方的要求，采取补足、更换或退货等处理措施，并承担由此发生的一切损失和费用。</w:t>
      </w:r>
    </w:p>
    <w:p w14:paraId="4ED76C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4.3甲、乙双方在符合国家相关技术标准的基础上，根据购置货物的技术标准以及采购或招标时乙方承诺的原厂的技术参数为标准对货物进行技术验收。</w:t>
      </w:r>
    </w:p>
    <w:p w14:paraId="5CCC5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付款方式</w:t>
      </w:r>
    </w:p>
    <w:p w14:paraId="111A8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验收合格及正常使用</w:t>
      </w:r>
      <w:r>
        <w:rPr>
          <w:rFonts w:hint="eastAsia" w:ascii="宋体" w:hAnsi="宋体" w:eastAsia="宋体" w:cs="宋体"/>
          <w:sz w:val="24"/>
          <w:szCs w:val="24"/>
        </w:rPr>
        <w:t>后乙方应向甲方出具与货物总价金额相对应的发票。甲方在收到乙方发票并确认无误后，</w:t>
      </w:r>
      <w:r>
        <w:rPr>
          <w:rFonts w:hint="eastAsia" w:ascii="宋体" w:hAnsi="宋体" w:eastAsia="宋体" w:cs="宋体"/>
          <w:color w:val="000000"/>
          <w:sz w:val="24"/>
          <w:szCs w:val="24"/>
        </w:rPr>
        <w:t>应在</w:t>
      </w:r>
      <w:r>
        <w:rPr>
          <w:rFonts w:hint="eastAsia" w:ascii="宋体" w:hAnsi="宋体" w:eastAsia="宋体" w:cs="宋体"/>
          <w:color w:val="auto"/>
          <w:sz w:val="24"/>
          <w:szCs w:val="24"/>
          <w:u w:val="single"/>
        </w:rPr>
        <w:t>90个工作日</w:t>
      </w:r>
      <w:r>
        <w:rPr>
          <w:rFonts w:hint="eastAsia" w:ascii="宋体" w:hAnsi="宋体" w:eastAsia="宋体" w:cs="宋体"/>
          <w:color w:val="000000"/>
          <w:sz w:val="24"/>
          <w:szCs w:val="24"/>
        </w:rPr>
        <w:t>内以</w:t>
      </w:r>
      <w:r>
        <w:rPr>
          <w:rFonts w:hint="eastAsia" w:ascii="宋体" w:hAnsi="宋体" w:eastAsia="宋体" w:cs="宋体"/>
          <w:sz w:val="24"/>
          <w:szCs w:val="24"/>
        </w:rPr>
        <w:t>银行汇款方式向乙方指定银行账户一次性支付货款。</w:t>
      </w:r>
    </w:p>
    <w:p w14:paraId="4533DF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质量保证及售后服务</w:t>
      </w:r>
    </w:p>
    <w:p w14:paraId="29BD7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乙方应保证所供货物必须是正规渠道提供的的近一年出厂的、全新的、未使用过的，并符合国家有关标准、行业有关标准、制造厂标准及遴选响应文件技术要求。如果在甲方验收合格后，货物的质量或规格仍存在与合同不符，或证实货物是有缺陷的，包括潜在的缺陷或使用不符合要求的材料等，乙方应在接到甲方通知后</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天</w:t>
      </w:r>
      <w:r>
        <w:rPr>
          <w:rFonts w:hint="eastAsia" w:ascii="宋体" w:hAnsi="宋体" w:eastAsia="宋体" w:cs="宋体"/>
          <w:sz w:val="24"/>
          <w:szCs w:val="24"/>
        </w:rPr>
        <w:t>内负责采用符合合同规定的规格、质量和性能要求的货物来更换有缺陷的部分，其费用由乙方负担。同时，乙方应按本合同规定，相应延长修补或更换件的质量保证期。</w:t>
      </w:r>
    </w:p>
    <w:p w14:paraId="16DF0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6.2乙方应提供质保期为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个月,</w:t>
      </w:r>
      <w:r>
        <w:rPr>
          <w:rFonts w:hint="eastAsia" w:ascii="宋体" w:hAnsi="宋体" w:eastAsia="宋体" w:cs="宋体"/>
          <w:sz w:val="24"/>
          <w:szCs w:val="24"/>
          <w:u w:val="single"/>
        </w:rPr>
        <w:t xml:space="preserve">   </w:t>
      </w:r>
      <w:r>
        <w:rPr>
          <w:rFonts w:hint="eastAsia" w:ascii="宋体" w:hAnsi="宋体" w:eastAsia="宋体" w:cs="宋体"/>
          <w:sz w:val="24"/>
          <w:szCs w:val="24"/>
        </w:rPr>
        <w:t>个月内出现质量问题，免费调换并承担换货造成的所有费用。质保期的期限应以甲乙双方的验收合格之日起计算。</w:t>
      </w:r>
    </w:p>
    <w:p w14:paraId="7BF09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6.3无条件接受18号令的相关条款规定。</w:t>
      </w:r>
    </w:p>
    <w:p w14:paraId="41F00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索赔条款</w:t>
      </w:r>
    </w:p>
    <w:p w14:paraId="423F8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7.1如经国家相关部门检验确认货物不符合本合同约定，甲方有权选择下列方式之一要求乙方进行补救：</w:t>
      </w:r>
    </w:p>
    <w:p w14:paraId="045FC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7.1.1同意甲方退货，及时为甲方办理退货手续，并将全额货款在货物被确认为不符合合同约定之日起</w:t>
      </w:r>
      <w:r>
        <w:rPr>
          <w:rFonts w:hint="eastAsia" w:ascii="宋体" w:hAnsi="宋体" w:eastAsia="宋体" w:cs="宋体"/>
          <w:color w:val="000000"/>
          <w:sz w:val="24"/>
          <w:szCs w:val="24"/>
          <w:u w:val="single"/>
        </w:rPr>
        <w:t>30</w:t>
      </w:r>
      <w:r>
        <w:rPr>
          <w:rFonts w:hint="eastAsia" w:ascii="宋体" w:hAnsi="宋体" w:eastAsia="宋体" w:cs="宋体"/>
          <w:sz w:val="24"/>
          <w:szCs w:val="24"/>
        </w:rPr>
        <w:t>日内偿还给甲方，并由乙方负担因退货而发生的一切直接损失和费用。</w:t>
      </w:r>
    </w:p>
    <w:p w14:paraId="1710C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7.1.2按照货物的疵劣程度、损坏的范围和甲方所遭受的损失，乙方折价收取或在货物被确认为不符合同约定之日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日</w:t>
      </w:r>
      <w:r>
        <w:rPr>
          <w:rFonts w:hint="eastAsia" w:ascii="宋体" w:hAnsi="宋体" w:eastAsia="宋体" w:cs="宋体"/>
          <w:sz w:val="24"/>
          <w:szCs w:val="24"/>
        </w:rPr>
        <w:t>内向甲方返还已收取的部分货款。</w:t>
      </w:r>
    </w:p>
    <w:p w14:paraId="0056B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7.1.3乙方应在货物被确认为不符合约定之日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日</w:t>
      </w:r>
      <w:r>
        <w:rPr>
          <w:rFonts w:hint="eastAsia" w:ascii="宋体" w:hAnsi="宋体" w:eastAsia="宋体" w:cs="宋体"/>
          <w:sz w:val="24"/>
          <w:szCs w:val="24"/>
        </w:rPr>
        <w:t>内调换有瑕疵的货物，换货必须全新并符合本合同规定的规格，质量和性能等，乙方并负责因此而产生的一切费用和甲方的一切直接损失。</w:t>
      </w:r>
    </w:p>
    <w:p w14:paraId="6380E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如果乙方没有按照合同规定的时间交货和提供服务，甲方应从货款中扣除误期赔偿费而不影响合同项下的其他补救办法。乙方发生延期交货和延期服务或延期退款的，每逾期一日按货物合同总价的千分之三向甲方支付赔偿金，直至交货或提供服务为止，但误期赔偿费的最高限额不超过合同价的百分之五（5%）。如乙方超过约定期限</w:t>
      </w:r>
      <w:r>
        <w:rPr>
          <w:rFonts w:hint="eastAsia" w:ascii="宋体" w:hAnsi="宋体" w:eastAsia="宋体" w:cs="宋体"/>
          <w:sz w:val="24"/>
          <w:szCs w:val="24"/>
          <w:u w:val="single"/>
        </w:rPr>
        <w:t>15</w:t>
      </w:r>
      <w:r>
        <w:rPr>
          <w:rFonts w:hint="eastAsia" w:ascii="宋体" w:hAnsi="宋体" w:eastAsia="宋体" w:cs="宋体"/>
          <w:sz w:val="24"/>
          <w:szCs w:val="24"/>
        </w:rPr>
        <w:t>天仍不交货或提供服务的，甲方有权终止合同并要求退货退款，乙方应在甲方要求终止本协议之日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30</w:t>
      </w:r>
      <w:r>
        <w:rPr>
          <w:rFonts w:hint="eastAsia" w:ascii="宋体" w:hAnsi="宋体" w:eastAsia="宋体" w:cs="宋体"/>
          <w:sz w:val="24"/>
          <w:szCs w:val="24"/>
        </w:rPr>
        <w:t>日内将甲方已付货款返还至甲方。</w:t>
      </w:r>
    </w:p>
    <w:p w14:paraId="75018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7.3乙方应保证甲方和使用单位在使用该货物或其任何一部分时免受第三方提出侵犯其专利权、商标权或工业产权的起诉。</w:t>
      </w:r>
    </w:p>
    <w:p w14:paraId="4CEF1C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争端的解决</w:t>
      </w:r>
    </w:p>
    <w:p w14:paraId="5AFA9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双方如在履行合同中发生纠纷，首先应友好协商，协商不成，双方均有权向甲方所在地人民法院起诉。</w:t>
      </w:r>
    </w:p>
    <w:p w14:paraId="6849A3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合同生效</w:t>
      </w:r>
    </w:p>
    <w:p w14:paraId="059BF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9.1本合同在甲、乙双方签字盖章生效。</w:t>
      </w:r>
    </w:p>
    <w:p w14:paraId="1FC44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9.2本合同一式</w:t>
      </w:r>
      <w:r>
        <w:rPr>
          <w:rFonts w:hint="eastAsia" w:ascii="宋体" w:hAnsi="宋体" w:eastAsia="宋体" w:cs="宋体"/>
          <w:color w:val="000000"/>
          <w:sz w:val="24"/>
          <w:szCs w:val="24"/>
          <w:u w:val="single"/>
        </w:rPr>
        <w:t>两</w:t>
      </w:r>
      <w:r>
        <w:rPr>
          <w:rFonts w:hint="eastAsia" w:ascii="宋体" w:hAnsi="宋体" w:eastAsia="宋体" w:cs="宋体"/>
          <w:sz w:val="24"/>
          <w:szCs w:val="24"/>
        </w:rPr>
        <w:t>份，以中文为准，签约双方各执一份，具有相同的法律效应、传真件有效。</w:t>
      </w:r>
    </w:p>
    <w:p w14:paraId="766F0EE2">
      <w:pPr>
        <w:spacing w:line="360" w:lineRule="auto"/>
        <w:ind w:firstLine="420"/>
        <w:rPr>
          <w:rFonts w:hint="eastAsia" w:ascii="宋体" w:hAnsi="宋体" w:eastAsia="宋体" w:cs="宋体"/>
          <w:sz w:val="24"/>
          <w:szCs w:val="24"/>
        </w:rPr>
      </w:pPr>
    </w:p>
    <w:p w14:paraId="106749B7">
      <w:pPr>
        <w:spacing w:line="360" w:lineRule="auto"/>
        <w:ind w:firstLine="42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4221B5C9">
      <w:pPr>
        <w:spacing w:line="360" w:lineRule="auto"/>
        <w:ind w:firstLine="420"/>
        <w:rPr>
          <w:rFonts w:hint="eastAsia" w:ascii="宋体" w:hAnsi="宋体" w:eastAsia="宋体" w:cs="DejaVuSans"/>
          <w:kern w:val="0"/>
          <w:sz w:val="24"/>
          <w:szCs w:val="24"/>
        </w:rPr>
      </w:pPr>
    </w:p>
    <w:p w14:paraId="1CA6DB5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3F56271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27AA505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22B8120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4B7959A6">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96CE03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6841E94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349E154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2087902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09FA487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52FD2DD8">
      <w:pPr>
        <w:autoSpaceDE w:val="0"/>
        <w:autoSpaceDN w:val="0"/>
        <w:adjustRightInd w:val="0"/>
        <w:spacing w:line="360" w:lineRule="auto"/>
        <w:ind w:firstLine="480" w:firstLineChars="200"/>
        <w:jc w:val="left"/>
        <w:rPr>
          <w:rFonts w:hint="eastAsia" w:ascii="宋体" w:hAnsi="宋体" w:eastAsia="宋体" w:cs="DejaVuSans"/>
          <w:kern w:val="0"/>
          <w:sz w:val="24"/>
          <w:szCs w:val="24"/>
        </w:rPr>
      </w:pPr>
      <w:r>
        <w:rPr>
          <w:rFonts w:hint="eastAsia" w:ascii="宋体" w:hAnsi="宋体" w:eastAsia="宋体" w:cs="DejaVuSans"/>
          <w:kern w:val="0"/>
          <w:sz w:val="24"/>
          <w:szCs w:val="24"/>
        </w:rPr>
        <w:t>合同签订日期：</w:t>
      </w:r>
    </w:p>
    <w:p w14:paraId="5627B93E">
      <w:pPr>
        <w:spacing w:line="360" w:lineRule="auto"/>
        <w:rPr>
          <w:rFonts w:ascii="宋体" w:hAnsi="宋体"/>
        </w:rPr>
      </w:pPr>
      <w:r>
        <w:rPr>
          <w:rFonts w:hint="eastAsia" w:ascii="宋体" w:hAnsi="宋体" w:eastAsia="宋体" w:cs="宋体"/>
          <w:sz w:val="24"/>
          <w:szCs w:val="24"/>
        </w:rPr>
        <w:t xml:space="preserve">    </w:t>
      </w:r>
      <w:r>
        <w:rPr>
          <w:rFonts w:hint="eastAsia" w:ascii="宋体" w:hAnsi="宋体"/>
        </w:rPr>
        <w:t xml:space="preserve">                            </w:t>
      </w:r>
    </w:p>
    <w:bookmarkEnd w:id="168"/>
    <w:bookmarkEnd w:id="169"/>
    <w:bookmarkEnd w:id="170"/>
    <w:bookmarkEnd w:id="171"/>
    <w:bookmarkEnd w:id="172"/>
    <w:bookmarkEnd w:id="173"/>
    <w:bookmarkEnd w:id="174"/>
    <w:bookmarkEnd w:id="175"/>
    <w:bookmarkEnd w:id="176"/>
    <w:bookmarkEnd w:id="177"/>
    <w:bookmarkEnd w:id="188"/>
    <w:p w14:paraId="6EC41FC1">
      <w:pPr>
        <w:pStyle w:val="40"/>
        <w:spacing w:line="360" w:lineRule="auto"/>
        <w:jc w:val="center"/>
      </w:pPr>
      <w:bookmarkStart w:id="189" w:name="_Toc169861825"/>
      <w:r>
        <w:rPr>
          <w:sz w:val="36"/>
        </w:rPr>
        <w:t>第</w:t>
      </w:r>
      <w:r>
        <w:rPr>
          <w:rFonts w:hint="eastAsia"/>
          <w:sz w:val="36"/>
          <w:lang w:val="en-US" w:eastAsia="zh-CN"/>
        </w:rPr>
        <w:t>五</w:t>
      </w:r>
      <w:r>
        <w:rPr>
          <w:sz w:val="36"/>
        </w:rPr>
        <w:t>部分</w:t>
      </w:r>
      <w:bookmarkEnd w:id="178"/>
      <w:bookmarkEnd w:id="179"/>
      <w:bookmarkEnd w:id="180"/>
      <w:bookmarkEnd w:id="181"/>
      <w:bookmarkEnd w:id="182"/>
      <w:r>
        <w:rPr>
          <w:sz w:val="36"/>
        </w:rPr>
        <w:t xml:space="preserve"> 响应文件格式</w:t>
      </w:r>
      <w:bookmarkEnd w:id="183"/>
      <w:bookmarkEnd w:id="184"/>
      <w:bookmarkEnd w:id="185"/>
      <w:bookmarkEnd w:id="186"/>
      <w:bookmarkEnd w:id="187"/>
      <w:bookmarkEnd w:id="189"/>
    </w:p>
    <w:p w14:paraId="2F477484">
      <w:pPr>
        <w:pStyle w:val="4"/>
        <w:keepNext w:val="0"/>
        <w:keepLines w:val="0"/>
        <w:spacing w:before="0" w:after="0" w:line="360" w:lineRule="auto"/>
        <w:jc w:val="center"/>
        <w:rPr>
          <w:rFonts w:ascii="Times New Roman" w:hAnsi="Times New Roman" w:eastAsia="宋体"/>
          <w:b w:val="0"/>
          <w:sz w:val="24"/>
          <w:szCs w:val="24"/>
        </w:rPr>
      </w:pPr>
      <w:bookmarkStart w:id="190" w:name="_Toc458262638"/>
      <w:bookmarkStart w:id="191" w:name="_Toc486671572"/>
      <w:bookmarkStart w:id="192" w:name="_Toc476976200"/>
      <w:bookmarkStart w:id="193" w:name="_Toc454701405"/>
      <w:bookmarkStart w:id="194" w:name="_Toc467236768"/>
      <w:bookmarkStart w:id="195" w:name="_Toc169861826"/>
      <w:r>
        <w:rPr>
          <w:rFonts w:ascii="Times New Roman" w:hAnsi="Times New Roman" w:eastAsia="宋体"/>
          <w:bCs/>
          <w:sz w:val="24"/>
          <w:szCs w:val="24"/>
        </w:rPr>
        <w:t>一、</w:t>
      </w:r>
      <w:r>
        <w:rPr>
          <w:rFonts w:ascii="Times New Roman" w:hAnsi="Times New Roman" w:eastAsia="宋体"/>
          <w:sz w:val="24"/>
          <w:szCs w:val="24"/>
        </w:rPr>
        <w:t>响应书</w:t>
      </w:r>
      <w:bookmarkEnd w:id="190"/>
      <w:bookmarkEnd w:id="191"/>
      <w:bookmarkEnd w:id="192"/>
      <w:bookmarkEnd w:id="193"/>
      <w:bookmarkEnd w:id="194"/>
      <w:bookmarkEnd w:id="195"/>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w:t>
      </w:r>
      <w:r>
        <w:rPr>
          <w:rFonts w:hint="eastAsia" w:eastAsia="宋体"/>
          <w:sz w:val="24"/>
          <w:szCs w:val="21"/>
          <w:u w:val="single"/>
          <w:lang w:eastAsia="zh-CN"/>
        </w:rPr>
        <w:t>开平市中心医院2025年护士鞋采购项目</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4"/>
        <w:keepNext w:val="0"/>
        <w:keepLines w:val="0"/>
        <w:spacing w:before="0" w:after="0" w:line="360" w:lineRule="auto"/>
        <w:jc w:val="center"/>
        <w:rPr>
          <w:rFonts w:ascii="Times New Roman" w:hAnsi="Times New Roman" w:eastAsia="宋体"/>
          <w:bCs/>
          <w:sz w:val="24"/>
          <w:szCs w:val="21"/>
        </w:rPr>
      </w:pPr>
      <w:bookmarkStart w:id="196" w:name="_Toc486671573"/>
      <w:bookmarkStart w:id="197" w:name="_Toc467236769"/>
      <w:bookmarkStart w:id="198" w:name="_Toc476976201"/>
      <w:bookmarkStart w:id="199" w:name="_Toc458262639"/>
      <w:bookmarkStart w:id="200" w:name="_Toc454701406"/>
      <w:r>
        <w:rPr>
          <w:rFonts w:ascii="Times New Roman" w:hAnsi="Times New Roman" w:eastAsia="宋体"/>
          <w:bCs/>
          <w:sz w:val="24"/>
          <w:szCs w:val="21"/>
        </w:rPr>
        <w:br w:type="page"/>
      </w:r>
      <w:bookmarkStart w:id="201" w:name="_Toc169861827"/>
      <w:r>
        <w:rPr>
          <w:rFonts w:ascii="Times New Roman" w:hAnsi="Times New Roman" w:eastAsia="宋体"/>
          <w:bCs/>
          <w:sz w:val="24"/>
          <w:szCs w:val="21"/>
        </w:rPr>
        <w:t>二、报价一览表</w:t>
      </w:r>
      <w:bookmarkEnd w:id="196"/>
      <w:bookmarkEnd w:id="197"/>
      <w:bookmarkEnd w:id="198"/>
      <w:bookmarkEnd w:id="199"/>
      <w:bookmarkEnd w:id="200"/>
      <w:bookmarkEnd w:id="201"/>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787"/>
        <w:gridCol w:w="5635"/>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77" w:type="dxa"/>
            <w:vAlign w:val="center"/>
          </w:tcPr>
          <w:p w14:paraId="11038840">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rPr>
              <w:t>项目名称</w:t>
            </w:r>
          </w:p>
        </w:tc>
        <w:tc>
          <w:tcPr>
            <w:tcW w:w="8051" w:type="dxa"/>
            <w:gridSpan w:val="2"/>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开平市中心医院2025年护士鞋采购项目</w:t>
            </w:r>
            <w:r>
              <w:rPr>
                <w:rFonts w:hint="eastAsia" w:ascii="宋体" w:hAnsi="宋体" w:eastAsia="宋体" w:cs="宋体"/>
                <w:kern w:val="0"/>
                <w:sz w:val="24"/>
                <w:szCs w:val="24"/>
              </w:rPr>
              <w:t xml:space="preserve"> </w:t>
            </w:r>
          </w:p>
        </w:tc>
      </w:tr>
      <w:tr w14:paraId="475A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77" w:type="dxa"/>
            <w:vAlign w:val="center"/>
          </w:tcPr>
          <w:p w14:paraId="441F7BBF">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数量</w:t>
            </w:r>
          </w:p>
        </w:tc>
        <w:tc>
          <w:tcPr>
            <w:tcW w:w="8051" w:type="dxa"/>
            <w:gridSpan w:val="2"/>
            <w:vAlign w:val="center"/>
          </w:tcPr>
          <w:p w14:paraId="43D9AEF5">
            <w:pPr>
              <w:autoSpaceDE w:val="0"/>
              <w:autoSpaceDN w:val="0"/>
              <w:adjustRightInd w:val="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701双</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7" w:type="dxa"/>
            <w:vMerge w:val="restart"/>
            <w:vAlign w:val="center"/>
          </w:tcPr>
          <w:p w14:paraId="3A91694D">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7" w:type="dxa"/>
            <w:vMerge w:val="continue"/>
            <w:vAlign w:val="center"/>
          </w:tcPr>
          <w:p w14:paraId="3293AD32">
            <w:pPr>
              <w:autoSpaceDE w:val="0"/>
              <w:autoSpaceDN w:val="0"/>
              <w:adjustRightInd w:val="0"/>
              <w:jc w:val="center"/>
              <w:rPr>
                <w:rFonts w:ascii="宋体" w:hAnsi="宋体" w:eastAsia="宋体" w:cs="宋体"/>
                <w:b/>
                <w:kern w:val="0"/>
                <w:sz w:val="24"/>
                <w:szCs w:val="24"/>
              </w:rPr>
            </w:pPr>
          </w:p>
        </w:tc>
        <w:tc>
          <w:tcPr>
            <w:tcW w:w="2664" w:type="dxa"/>
            <w:vAlign w:val="center"/>
          </w:tcPr>
          <w:p w14:paraId="4340AECA">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kern w:val="0"/>
                <w:sz w:val="24"/>
                <w:szCs w:val="24"/>
              </w:rPr>
            </w:pPr>
          </w:p>
        </w:tc>
      </w:tr>
      <w:tr w14:paraId="1826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7" w:type="dxa"/>
            <w:vAlign w:val="center"/>
          </w:tcPr>
          <w:p w14:paraId="5C988847">
            <w:pPr>
              <w:autoSpaceDE w:val="0"/>
              <w:autoSpaceDN w:val="0"/>
              <w:adjustRightInd w:val="0"/>
              <w:jc w:val="center"/>
              <w:rPr>
                <w:rFonts w:hint="eastAsia" w:ascii="宋体" w:hAnsi="宋体" w:eastAsia="宋体" w:cs="宋体"/>
                <w:b/>
                <w:kern w:val="0"/>
                <w:sz w:val="24"/>
                <w:szCs w:val="24"/>
                <w:lang w:val="en-US" w:eastAsia="zh-CN"/>
              </w:rPr>
            </w:pPr>
            <w:r>
              <w:rPr>
                <w:rFonts w:hint="eastAsia" w:ascii="宋体" w:hAnsi="宋体" w:eastAsia="宋体" w:cs="宋体"/>
                <w:b w:val="0"/>
                <w:bCs/>
                <w:kern w:val="0"/>
                <w:sz w:val="24"/>
                <w:szCs w:val="24"/>
                <w:lang w:val="en-US" w:eastAsia="zh-CN"/>
              </w:rPr>
              <w:t>规格</w:t>
            </w:r>
          </w:p>
        </w:tc>
        <w:tc>
          <w:tcPr>
            <w:tcW w:w="8051" w:type="dxa"/>
            <w:gridSpan w:val="2"/>
            <w:vAlign w:val="center"/>
          </w:tcPr>
          <w:p w14:paraId="72F31C66">
            <w:pPr>
              <w:autoSpaceDE w:val="0"/>
              <w:autoSpaceDN w:val="0"/>
              <w:adjustRightInd w:val="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执行标准:QB/T2995-2017</w:t>
            </w:r>
          </w:p>
          <w:p w14:paraId="14EFB358">
            <w:pPr>
              <w:autoSpaceDE w:val="0"/>
              <w:autoSpaceDN w:val="0"/>
              <w:adjustRightInd w:val="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鞋面材质：优质头层软牛皮</w:t>
            </w:r>
          </w:p>
          <w:p w14:paraId="3706FB4C">
            <w:pPr>
              <w:autoSpaceDE w:val="0"/>
              <w:autoSpaceDN w:val="0"/>
              <w:adjustRightInd w:val="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内里：优质头层猪皮</w:t>
            </w:r>
          </w:p>
          <w:p w14:paraId="356109BE">
            <w:pPr>
              <w:autoSpaceDE w:val="0"/>
              <w:autoSpaceDN w:val="0"/>
              <w:adjustRightInd w:val="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鞋垫：</w:t>
            </w:r>
          </w:p>
          <w:p w14:paraId="195DCC98">
            <w:pPr>
              <w:autoSpaceDE w:val="0"/>
              <w:autoSpaceDN w:val="0"/>
              <w:adjustRightInd w:val="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鞋底：</w:t>
            </w:r>
          </w:p>
          <w:p w14:paraId="1EAB3922">
            <w:pPr>
              <w:autoSpaceDE w:val="0"/>
              <w:autoSpaceDN w:val="0"/>
              <w:adjustRightInd w:val="0"/>
              <w:jc w:val="left"/>
              <w:rPr>
                <w:rFonts w:ascii="宋体" w:hAnsi="宋体" w:eastAsia="宋体" w:cs="宋体"/>
                <w:b/>
                <w:kern w:val="0"/>
                <w:sz w:val="24"/>
                <w:szCs w:val="24"/>
              </w:rPr>
            </w:pPr>
            <w:r>
              <w:rPr>
                <w:rFonts w:hint="eastAsia" w:ascii="宋体" w:hAnsi="宋体" w:eastAsia="宋体" w:cs="宋体"/>
                <w:b w:val="0"/>
                <w:bCs/>
                <w:kern w:val="0"/>
                <w:sz w:val="24"/>
                <w:szCs w:val="24"/>
              </w:rPr>
              <w:t>制作工艺：</w:t>
            </w: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Align w:val="center"/>
          </w:tcPr>
          <w:p w14:paraId="01FD0D90">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lang w:val="en-US" w:eastAsia="zh-CN"/>
              </w:rPr>
              <w:t>交货</w:t>
            </w:r>
            <w:r>
              <w:rPr>
                <w:rFonts w:hint="eastAsia" w:ascii="宋体" w:hAnsi="宋体" w:eastAsia="宋体" w:cs="宋体"/>
                <w:kern w:val="0"/>
                <w:sz w:val="24"/>
                <w:szCs w:val="24"/>
              </w:rPr>
              <w:t>期</w:t>
            </w:r>
          </w:p>
        </w:tc>
        <w:tc>
          <w:tcPr>
            <w:tcW w:w="8051" w:type="dxa"/>
            <w:gridSpan w:val="2"/>
            <w:vAlign w:val="center"/>
          </w:tcPr>
          <w:p w14:paraId="524AC137">
            <w:pPr>
              <w:autoSpaceDE w:val="0"/>
              <w:autoSpaceDN w:val="0"/>
              <w:adjustRightInd w:val="0"/>
              <w:jc w:val="center"/>
              <w:rPr>
                <w:rFonts w:ascii="宋体" w:hAnsi="宋体" w:eastAsia="宋体" w:cs="宋体"/>
                <w:b/>
                <w:kern w:val="0"/>
                <w:sz w:val="24"/>
                <w:szCs w:val="24"/>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Align w:val="center"/>
          </w:tcPr>
          <w:p w14:paraId="53C6EECC">
            <w:pPr>
              <w:autoSpaceDE w:val="0"/>
              <w:autoSpaceDN w:val="0"/>
              <w:adjustRightInd w:val="0"/>
              <w:jc w:val="center"/>
              <w:rPr>
                <w:rFonts w:hint="default" w:ascii="宋体" w:hAnsi="宋体" w:eastAsia="宋体" w:cs="宋体"/>
                <w:b/>
                <w:kern w:val="0"/>
                <w:sz w:val="24"/>
                <w:szCs w:val="24"/>
                <w:lang w:val="en-US" w:eastAsia="zh-CN"/>
              </w:rPr>
            </w:pPr>
            <w:r>
              <w:rPr>
                <w:rFonts w:hint="eastAsia" w:ascii="宋体" w:hAnsi="宋体" w:eastAsia="宋体" w:cs="宋体"/>
                <w:kern w:val="0"/>
                <w:sz w:val="24"/>
                <w:szCs w:val="24"/>
                <w:lang w:val="en-US" w:eastAsia="zh-CN"/>
              </w:rPr>
              <w:t>交货地点</w:t>
            </w:r>
          </w:p>
        </w:tc>
        <w:tc>
          <w:tcPr>
            <w:tcW w:w="8051" w:type="dxa"/>
            <w:gridSpan w:val="2"/>
            <w:vAlign w:val="center"/>
          </w:tcPr>
          <w:p w14:paraId="4DF35BE4">
            <w:pPr>
              <w:autoSpaceDE w:val="0"/>
              <w:autoSpaceDN w:val="0"/>
              <w:adjustRightInd w:val="0"/>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开平市中心医院指定地点</w:t>
            </w:r>
          </w:p>
        </w:tc>
      </w:tr>
      <w:tr w14:paraId="0C57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Align w:val="center"/>
          </w:tcPr>
          <w:p w14:paraId="5D17DA4E">
            <w:pPr>
              <w:autoSpaceDE w:val="0"/>
              <w:autoSpaceDN w:val="0"/>
              <w:adjustRightInd w:val="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备注</w:t>
            </w:r>
          </w:p>
        </w:tc>
        <w:tc>
          <w:tcPr>
            <w:tcW w:w="8051" w:type="dxa"/>
            <w:gridSpan w:val="2"/>
            <w:vAlign w:val="center"/>
          </w:tcPr>
          <w:p w14:paraId="6F857B2C">
            <w:pPr>
              <w:autoSpaceDE w:val="0"/>
              <w:autoSpaceDN w:val="0"/>
              <w:adjustRightInd w:val="0"/>
              <w:jc w:val="center"/>
              <w:rPr>
                <w:rFonts w:hint="eastAsia" w:ascii="宋体" w:hAnsi="宋体" w:eastAsia="宋体" w:cs="宋体"/>
                <w:b/>
                <w:kern w:val="0"/>
                <w:sz w:val="24"/>
                <w:szCs w:val="24"/>
                <w:lang w:val="en-US" w:eastAsia="zh-CN"/>
              </w:rPr>
            </w:pPr>
          </w:p>
        </w:tc>
      </w:tr>
    </w:tbl>
    <w:p w14:paraId="22C9C070">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21F8F21D">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eastAsia="宋体"/>
          <w:sz w:val="24"/>
          <w:szCs w:val="21"/>
        </w:rPr>
        <w:t>1</w:t>
      </w:r>
      <w:r>
        <w:rPr>
          <w:rFonts w:hint="eastAsia" w:eastAsia="宋体"/>
          <w:sz w:val="24"/>
          <w:szCs w:val="21"/>
          <w:lang w:val="en-US" w:eastAsia="zh-CN"/>
        </w:rPr>
        <w:t>.</w:t>
      </w:r>
      <w:r>
        <w:rPr>
          <w:rFonts w:hint="eastAsia" w:eastAsia="宋体"/>
          <w:sz w:val="24"/>
          <w:szCs w:val="21"/>
        </w:rPr>
        <w:t>上述总报价为成交产品价、包装运输、送货上门、卸货、税费等费用之和，超过最高限价为无效响应。</w:t>
      </w:r>
    </w:p>
    <w:p w14:paraId="2713B0A9">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hint="eastAsia" w:eastAsia="宋体"/>
          <w:sz w:val="24"/>
          <w:szCs w:val="21"/>
        </w:rPr>
        <w:t>2</w:t>
      </w:r>
      <w:r>
        <w:rPr>
          <w:rFonts w:hint="eastAsia" w:eastAsia="宋体"/>
          <w:sz w:val="24"/>
          <w:szCs w:val="21"/>
          <w:lang w:eastAsia="zh-CN"/>
        </w:rPr>
        <w:t>.</w:t>
      </w:r>
      <w:r>
        <w:rPr>
          <w:rFonts w:hint="eastAsia" w:eastAsia="宋体"/>
          <w:sz w:val="24"/>
          <w:szCs w:val="21"/>
        </w:rPr>
        <w:t>报价应以人民币报价，精确到小数点后两位并用逗号隔开；（例：1,000,000.00元）；</w:t>
      </w:r>
    </w:p>
    <w:p w14:paraId="392B77DC">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hint="eastAsia" w:eastAsia="宋体"/>
          <w:sz w:val="24"/>
          <w:szCs w:val="21"/>
        </w:rPr>
        <w:t>3</w:t>
      </w:r>
      <w:r>
        <w:rPr>
          <w:rFonts w:hint="eastAsia" w:eastAsia="宋体"/>
          <w:sz w:val="24"/>
          <w:szCs w:val="21"/>
          <w:lang w:eastAsia="zh-CN"/>
        </w:rPr>
        <w:t>.</w:t>
      </w:r>
      <w:r>
        <w:rPr>
          <w:rFonts w:hint="eastAsia" w:eastAsia="宋体"/>
          <w:sz w:val="24"/>
          <w:szCs w:val="21"/>
        </w:rPr>
        <w:t>本次报价对应两个款式的护士鞋（即两个款式的护士鞋为同一报价）；</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rPr>
        <w:t>4</w:t>
      </w:r>
      <w:r>
        <w:rPr>
          <w:rFonts w:hint="eastAsia" w:eastAsia="宋体"/>
          <w:sz w:val="24"/>
          <w:szCs w:val="21"/>
          <w:lang w:eastAsia="zh-CN"/>
        </w:rPr>
        <w:t>.</w:t>
      </w:r>
      <w:r>
        <w:rPr>
          <w:rFonts w:hint="eastAsia" w:eastAsia="宋体"/>
          <w:sz w:val="24"/>
          <w:szCs w:val="21"/>
        </w:rPr>
        <w:t>交货期最长不得超过15天。</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5.</w:t>
      </w:r>
      <w:r>
        <w:rPr>
          <w:rFonts w:eastAsia="宋体"/>
          <w:sz w:val="24"/>
          <w:szCs w:val="21"/>
        </w:rPr>
        <w:t>供应商认为有必要说明而本表中无相应栏目的，请在“备注”一栏中说明。</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202"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rPr>
          <w:rFonts w:eastAsia="宋体"/>
          <w:b/>
          <w:sz w:val="24"/>
          <w:szCs w:val="21"/>
        </w:rPr>
      </w:pPr>
      <w:r>
        <w:rPr>
          <w:rFonts w:eastAsia="宋体"/>
          <w:b/>
          <w:sz w:val="24"/>
          <w:szCs w:val="21"/>
        </w:rPr>
        <w:br w:type="page"/>
      </w:r>
    </w:p>
    <w:p w14:paraId="158BA272">
      <w:pPr>
        <w:spacing w:line="360" w:lineRule="auto"/>
        <w:rPr>
          <w:rFonts w:ascii="宋体" w:hAnsi="宋体" w:cs="宋体"/>
          <w:color w:val="FF0000"/>
          <w:szCs w:val="21"/>
        </w:rPr>
        <w:sectPr>
          <w:footerReference r:id="rId8" w:type="first"/>
          <w:footerReference r:id="rId7" w:type="default"/>
          <w:pgSz w:w="11906" w:h="16838"/>
          <w:pgMar w:top="1440" w:right="1106" w:bottom="1440" w:left="1259" w:header="851" w:footer="992" w:gutter="0"/>
          <w:pgNumType w:fmt="decimal" w:start="2"/>
          <w:cols w:space="720" w:num="1"/>
          <w:titlePg/>
          <w:docGrid w:type="lines" w:linePitch="329" w:charSpace="0"/>
        </w:sectPr>
      </w:pPr>
    </w:p>
    <w:p w14:paraId="41D7B7EB">
      <w:pPr>
        <w:spacing w:line="340" w:lineRule="atLeast"/>
        <w:jc w:val="center"/>
        <w:outlineLvl w:val="0"/>
        <w:rPr>
          <w:rFonts w:hint="eastAsia" w:ascii="宋体" w:hAnsi="宋体" w:eastAsia="宋体" w:cs="宋体"/>
          <w:b/>
          <w:sz w:val="24"/>
          <w:szCs w:val="24"/>
        </w:rPr>
      </w:pPr>
      <w:bookmarkStart w:id="203" w:name="_Toc349642204"/>
      <w:r>
        <w:rPr>
          <w:rFonts w:hint="eastAsia" w:ascii="宋体" w:hAnsi="宋体" w:eastAsia="宋体" w:cs="宋体"/>
          <w:b/>
          <w:sz w:val="24"/>
          <w:szCs w:val="24"/>
          <w:lang w:val="en-US" w:eastAsia="zh-CN"/>
        </w:rPr>
        <w:t>三、</w:t>
      </w:r>
      <w:r>
        <w:rPr>
          <w:rFonts w:hint="eastAsia" w:ascii="宋体" w:hAnsi="宋体" w:eastAsia="宋体" w:cs="宋体"/>
          <w:b/>
          <w:sz w:val="24"/>
          <w:szCs w:val="24"/>
        </w:rPr>
        <w:t>遴选响应</w:t>
      </w:r>
      <w:r>
        <w:rPr>
          <w:rFonts w:hint="eastAsia" w:ascii="宋体" w:hAnsi="宋体" w:eastAsia="宋体" w:cs="宋体"/>
          <w:b/>
          <w:sz w:val="24"/>
          <w:szCs w:val="24"/>
          <w:lang w:val="en-US" w:eastAsia="zh-CN"/>
        </w:rPr>
        <w:t>承诺</w:t>
      </w:r>
      <w:r>
        <w:rPr>
          <w:rFonts w:hint="eastAsia" w:ascii="宋体" w:hAnsi="宋体" w:eastAsia="宋体" w:cs="宋体"/>
          <w:b/>
          <w:sz w:val="24"/>
          <w:szCs w:val="24"/>
        </w:rPr>
        <w:t>函</w:t>
      </w:r>
      <w:bookmarkEnd w:id="203"/>
    </w:p>
    <w:p w14:paraId="25A52089">
      <w:pPr>
        <w:spacing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 xml:space="preserve">开平市中心医院 </w:t>
      </w:r>
      <w:r>
        <w:rPr>
          <w:rFonts w:hint="eastAsia" w:ascii="宋体" w:hAnsi="宋体" w:eastAsia="宋体" w:cs="宋体"/>
          <w:sz w:val="24"/>
          <w:szCs w:val="24"/>
        </w:rPr>
        <w:t>：</w:t>
      </w:r>
    </w:p>
    <w:p w14:paraId="5570F0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在参与</w:t>
      </w:r>
      <w:r>
        <w:rPr>
          <w:rFonts w:hint="eastAsia" w:ascii="宋体" w:hAnsi="宋体" w:eastAsia="宋体" w:cs="宋体"/>
          <w:sz w:val="24"/>
          <w:lang w:eastAsia="zh-CN"/>
        </w:rPr>
        <w:t>开平市中心医院2025年护士鞋采购项目</w:t>
      </w:r>
      <w:r>
        <w:rPr>
          <w:rFonts w:hint="eastAsia" w:ascii="宋体" w:hAnsi="宋体" w:eastAsia="宋体" w:cs="宋体"/>
          <w:sz w:val="24"/>
        </w:rPr>
        <w:t>的遴选活动中，我公司郑重承诺：</w:t>
      </w:r>
    </w:p>
    <w:p w14:paraId="468A5EB3">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一、遵循公开、公平、公正和诚实信用的原则参加本项目的遴选响应；</w:t>
      </w:r>
    </w:p>
    <w:p w14:paraId="7C5BA557">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二、不在遴选响应文件中提供虚假材料，承诺所提供的一切材料都是真实、有效、合法的；</w:t>
      </w:r>
    </w:p>
    <w:p w14:paraId="46BBBFE3">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三、不与其他遴选响应人相互串通响应，排斥其他遴选响应人的公平竞争，损害遴选人或其他遴选响应人的合法利益；</w:t>
      </w:r>
    </w:p>
    <w:p w14:paraId="16C8554C">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四、不与遴选人串通响应，损害国家利益、社会公共利益或者他人的合法权益；</w:t>
      </w:r>
    </w:p>
    <w:p w14:paraId="492B341E">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五、不对遴选人及遴选委员会成员进行任何形式的行贿以牟取成交；</w:t>
      </w:r>
    </w:p>
    <w:p w14:paraId="50AE0A4A">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六、不以他人名义响应或者以其他方式弄虚作假，骗取成交；</w:t>
      </w:r>
    </w:p>
    <w:p w14:paraId="72F56C9D">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七、不出卖资质，让他人挂靠响应；</w:t>
      </w:r>
    </w:p>
    <w:p w14:paraId="0307BC5C">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八、不恶意压低或抬高响应报价；</w:t>
      </w:r>
    </w:p>
    <w:p w14:paraId="5DF4ED50">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九、不在遴选结束后进行虚假恶意投诉；</w:t>
      </w:r>
    </w:p>
    <w:p w14:paraId="7978862F">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若我方成交，除因不可抗力或遴选文件认可的情形以外，不无故放弃成交项目，不在签订合同时提出附加条件或者更改合同实质性内容。无故未按时（即超出成交结果公示期满后15日历天）领取成交通知书，无故未按时（即超出领取成交通知书后30日历天）与遴选人签订合同，视为我方无故放弃成交权利；</w:t>
      </w:r>
    </w:p>
    <w:p w14:paraId="311FEC96">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十一、本公司若有违反本承诺内容的行为，愿意承担由此引起的一切后果和相应的法律责任。</w:t>
      </w:r>
    </w:p>
    <w:p w14:paraId="424C17ED">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4557F580">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A57CC40">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48BCB51">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02"/>
    <w:p w14:paraId="35338D69">
      <w:pPr>
        <w:rPr>
          <w:rFonts w:ascii="Times New Roman" w:hAnsi="Times New Roman" w:eastAsia="宋体"/>
          <w:bCs/>
          <w:sz w:val="24"/>
          <w:szCs w:val="21"/>
        </w:rPr>
      </w:pPr>
      <w:bookmarkStart w:id="204" w:name="_Toc169861828"/>
      <w:bookmarkStart w:id="205" w:name="_Toc520220206"/>
      <w:bookmarkStart w:id="206" w:name="_Toc480021085"/>
      <w:bookmarkStart w:id="207" w:name="_Toc467987856"/>
      <w:bookmarkStart w:id="208" w:name="_Toc468157569"/>
      <w:bookmarkStart w:id="209" w:name="_Toc468606064"/>
      <w:bookmarkStart w:id="210" w:name="_Toc479991616"/>
      <w:bookmarkStart w:id="211" w:name="_Toc480010742"/>
      <w:bookmarkStart w:id="212" w:name="_Toc480020289"/>
      <w:r>
        <w:rPr>
          <w:rFonts w:ascii="Times New Roman" w:hAnsi="Times New Roman" w:eastAsia="宋体"/>
          <w:bCs/>
          <w:sz w:val="24"/>
          <w:szCs w:val="21"/>
        </w:rPr>
        <w:br w:type="page"/>
      </w:r>
    </w:p>
    <w:p w14:paraId="5DBB839F">
      <w:pPr>
        <w:rPr>
          <w:rFonts w:ascii="Times New Roman" w:hAnsi="Times New Roman" w:eastAsia="宋体"/>
          <w:bCs/>
          <w:sz w:val="24"/>
          <w:szCs w:val="21"/>
        </w:rPr>
      </w:pPr>
    </w:p>
    <w:bookmarkEnd w:id="204"/>
    <w:bookmarkEnd w:id="205"/>
    <w:p w14:paraId="761EE43E">
      <w:pPr>
        <w:pStyle w:val="4"/>
        <w:keepNext w:val="0"/>
        <w:keepLines w:val="0"/>
        <w:spacing w:before="0" w:after="0" w:line="360" w:lineRule="auto"/>
        <w:jc w:val="center"/>
        <w:rPr>
          <w:rFonts w:hint="default" w:ascii="Times New Roman" w:hAnsi="Times New Roman" w:eastAsia="宋体"/>
          <w:sz w:val="24"/>
          <w:szCs w:val="21"/>
          <w:lang w:val="en-US" w:eastAsia="zh-CN"/>
        </w:rPr>
      </w:pPr>
      <w:bookmarkStart w:id="213" w:name="_Toc169861829"/>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06"/>
      <w:bookmarkEnd w:id="207"/>
      <w:bookmarkEnd w:id="208"/>
      <w:bookmarkEnd w:id="209"/>
      <w:bookmarkEnd w:id="210"/>
      <w:bookmarkEnd w:id="211"/>
      <w:bookmarkEnd w:id="212"/>
      <w:bookmarkEnd w:id="213"/>
      <w:bookmarkStart w:id="214" w:name="_Toc480021086"/>
      <w:bookmarkStart w:id="215" w:name="_Toc35233726"/>
      <w:bookmarkStart w:id="216" w:name="_Toc467987857"/>
      <w:bookmarkStart w:id="217" w:name="_Toc480020290"/>
      <w:bookmarkStart w:id="218" w:name="_Toc454701411"/>
      <w:bookmarkStart w:id="219" w:name="_Toc468606065"/>
      <w:bookmarkStart w:id="220" w:name="_Toc467236774"/>
      <w:bookmarkStart w:id="221" w:name="_Toc468157570"/>
      <w:bookmarkStart w:id="222" w:name="_Toc480010743"/>
      <w:bookmarkStart w:id="223" w:name="_Toc479991617"/>
      <w:bookmarkStart w:id="224" w:name="_Toc480171915"/>
      <w:bookmarkStart w:id="225" w:name="_Toc458262644"/>
      <w:bookmarkStart w:id="226" w:name="_Toc110953865"/>
      <w:r>
        <w:rPr>
          <w:rFonts w:hint="eastAsia" w:ascii="Times New Roman" w:hAnsi="Times New Roman" w:eastAsia="宋体"/>
          <w:bCs/>
          <w:sz w:val="24"/>
          <w:szCs w:val="21"/>
          <w:lang w:val="en-US" w:eastAsia="zh-CN"/>
        </w:rPr>
        <w:t>供货、质量保证书</w:t>
      </w:r>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07B29857">
      <w:pPr>
        <w:keepNext w:val="0"/>
        <w:keepLines w:val="0"/>
        <w:pageBreakBefore w:val="0"/>
        <w:widowControl/>
        <w:kinsoku/>
        <w:wordWrap/>
        <w:overflowPunct/>
        <w:topLinePunct w:val="0"/>
        <w:bidi w:val="0"/>
        <w:adjustRightInd w:val="0"/>
        <w:snapToGrid w:val="0"/>
        <w:spacing w:line="480" w:lineRule="exac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致开平市中心医院:</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4"/>
          <w:szCs w:val="24"/>
          <w:u w:val="single"/>
        </w:rPr>
        <w:t xml:space="preserve">                       </w:t>
      </w:r>
    </w:p>
    <w:p w14:paraId="46DFD678">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outlineLvl w:val="0"/>
        <w:rPr>
          <w:rFonts w:hint="eastAsia" w:ascii="宋体" w:hAnsi="宋体" w:eastAsia="宋体" w:cs="宋体"/>
          <w:sz w:val="24"/>
          <w:szCs w:val="24"/>
          <w:u w:val="single"/>
        </w:rPr>
      </w:pPr>
      <w:bookmarkStart w:id="227" w:name="_Toc337554698"/>
      <w:bookmarkStart w:id="228" w:name="_Toc349642208"/>
      <w:r>
        <w:rPr>
          <w:rFonts w:hint="eastAsia" w:ascii="宋体" w:hAnsi="宋体" w:eastAsia="宋体" w:cs="宋体"/>
          <w:sz w:val="24"/>
          <w:szCs w:val="24"/>
        </w:rPr>
        <w:t>作为销售/生产（所响应产品名称）</w:t>
      </w:r>
      <w:r>
        <w:rPr>
          <w:rFonts w:hint="eastAsia" w:ascii="宋体" w:hAnsi="宋体" w:eastAsia="宋体" w:cs="宋体"/>
          <w:sz w:val="24"/>
          <w:szCs w:val="24"/>
          <w:u w:val="single"/>
        </w:rPr>
        <w:t>　　　　　　　　　　</w:t>
      </w:r>
      <w:r>
        <w:rPr>
          <w:rFonts w:hint="eastAsia" w:ascii="宋体" w:hAnsi="宋体" w:eastAsia="宋体" w:cs="宋体"/>
          <w:sz w:val="24"/>
          <w:szCs w:val="24"/>
        </w:rPr>
        <w:t xml:space="preserve">的企业(企业名称): </w:t>
      </w:r>
      <w:r>
        <w:rPr>
          <w:rFonts w:hint="eastAsia" w:ascii="宋体" w:hAnsi="宋体" w:eastAsia="宋体" w:cs="宋体"/>
          <w:sz w:val="24"/>
          <w:szCs w:val="24"/>
          <w:u w:val="single"/>
        </w:rPr>
        <w:t>　　　　　　　　　　　　　　　　　</w:t>
      </w:r>
      <w:r>
        <w:rPr>
          <w:rFonts w:hint="eastAsia" w:ascii="宋体" w:hAnsi="宋体" w:eastAsia="宋体" w:cs="宋体"/>
          <w:sz w:val="24"/>
          <w:szCs w:val="24"/>
        </w:rPr>
        <w:t>，我单位同意上述产品参与开平市中心医院</w:t>
      </w:r>
      <w:r>
        <w:rPr>
          <w:rFonts w:hint="eastAsia" w:ascii="宋体" w:hAnsi="宋体" w:eastAsia="宋体" w:cs="宋体"/>
          <w:sz w:val="24"/>
          <w:szCs w:val="24"/>
          <w:lang w:eastAsia="zh-CN"/>
        </w:rPr>
        <w:t>开平市中心医院2025年护士鞋采购项目</w:t>
      </w:r>
      <w:r>
        <w:rPr>
          <w:rFonts w:hint="eastAsia" w:ascii="宋体" w:hAnsi="宋体" w:eastAsia="宋体" w:cs="宋体"/>
          <w:sz w:val="24"/>
          <w:szCs w:val="24"/>
        </w:rPr>
        <w:t>的遴选工作。根据遴选文件的规定，我单位的产品在遴选项目中，一旦成交并依法签订购销合同后,我单位保证:上述产品的生产标准达到产品执行标准和遴选响应文件响应程度，响应有效期及合同签订有效期内,保证按遴选文件、遴选响应文件响应要求及合同等具体要求向遴选人提供产品。如有违反,愿依法承担违约责任。</w:t>
      </w:r>
      <w:bookmarkEnd w:id="227"/>
      <w:bookmarkEnd w:id="228"/>
    </w:p>
    <w:p w14:paraId="56967DDA">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outlineLvl w:val="0"/>
        <w:rPr>
          <w:rFonts w:hint="eastAsia" w:ascii="宋体" w:hAnsi="宋体" w:eastAsia="宋体" w:cs="宋体"/>
          <w:sz w:val="24"/>
          <w:szCs w:val="24"/>
          <w:u w:val="single"/>
        </w:rPr>
      </w:pPr>
      <w:bookmarkStart w:id="229" w:name="_Toc349642209"/>
      <w:bookmarkStart w:id="230" w:name="_Toc337554699"/>
      <w:r>
        <w:rPr>
          <w:rFonts w:hint="eastAsia" w:ascii="宋体" w:hAnsi="宋体" w:eastAsia="宋体" w:cs="宋体"/>
          <w:sz w:val="24"/>
          <w:szCs w:val="24"/>
        </w:rPr>
        <w:t>我单位保证出具的产品质量及货源保证书真实,合法,并愿承担一切法律责任。</w:t>
      </w:r>
      <w:bookmarkEnd w:id="229"/>
      <w:bookmarkEnd w:id="230"/>
    </w:p>
    <w:p w14:paraId="2A095391">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sz w:val="24"/>
          <w:szCs w:val="24"/>
        </w:rPr>
      </w:pPr>
      <w:bookmarkStart w:id="231" w:name="_Toc337554700"/>
      <w:bookmarkStart w:id="232" w:name="_Toc349642210"/>
      <w:r>
        <w:rPr>
          <w:rFonts w:hint="eastAsia" w:ascii="宋体" w:hAnsi="宋体" w:eastAsia="宋体" w:cs="宋体"/>
          <w:sz w:val="24"/>
          <w:szCs w:val="24"/>
        </w:rPr>
        <w:t>本保证书有效期限为：</w:t>
      </w:r>
      <w:bookmarkEnd w:id="231"/>
      <w:bookmarkEnd w:id="232"/>
      <w:r>
        <w:rPr>
          <w:rFonts w:hint="eastAsia" w:ascii="宋体" w:hAnsi="宋体" w:eastAsia="宋体" w:cs="宋体"/>
          <w:sz w:val="24"/>
          <w:szCs w:val="24"/>
        </w:rPr>
        <w:t>遴选之日起60天的遴选响应有效期内。如果成交，有效期延长至合同终止日止。</w:t>
      </w:r>
    </w:p>
    <w:p w14:paraId="56180BE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571A86C">
      <w:pPr>
        <w:pStyle w:val="4"/>
        <w:keepNext w:val="0"/>
        <w:keepLines w:val="0"/>
        <w:spacing w:before="0" w:after="0" w:line="360" w:lineRule="auto"/>
        <w:jc w:val="center"/>
        <w:rPr>
          <w:rFonts w:eastAsia="宋体"/>
          <w:b w:val="0"/>
          <w:bCs/>
          <w:sz w:val="24"/>
          <w:szCs w:val="21"/>
        </w:rPr>
      </w:pPr>
      <w:r>
        <w:rPr>
          <w:rFonts w:ascii="Times New Roman" w:hAnsi="Times New Roman" w:eastAsia="宋体"/>
          <w:bCs/>
          <w:sz w:val="24"/>
          <w:szCs w:val="21"/>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33" w:name="_Toc169861831"/>
      <w:r>
        <w:rPr>
          <w:rFonts w:hint="eastAsia" w:eastAsia="宋体"/>
          <w:b/>
          <w:bCs w:val="0"/>
          <w:sz w:val="24"/>
          <w:szCs w:val="21"/>
          <w:lang w:val="en-US" w:eastAsia="zh-CN"/>
        </w:rPr>
        <w:t>五</w:t>
      </w:r>
      <w:r>
        <w:rPr>
          <w:rFonts w:hint="eastAsia" w:ascii="Times New Roman" w:hAnsi="Times New Roman" w:eastAsia="宋体"/>
          <w:b/>
          <w:bCs w:val="0"/>
          <w:sz w:val="24"/>
          <w:szCs w:val="21"/>
        </w:rPr>
        <w:t>、</w:t>
      </w:r>
      <w:r>
        <w:rPr>
          <w:rFonts w:hint="eastAsia" w:ascii="Times New Roman" w:hAnsi="Times New Roman" w:eastAsia="宋体"/>
          <w:b/>
          <w:bCs w:val="0"/>
          <w:sz w:val="24"/>
          <w:szCs w:val="21"/>
          <w:lang w:val="en-US" w:eastAsia="zh-CN"/>
        </w:rPr>
        <w:t>近三年来响应产品的销售业绩</w:t>
      </w:r>
      <w:r>
        <w:rPr>
          <w:rFonts w:hint="eastAsia" w:ascii="Times New Roman" w:hAnsi="Times New Roman" w:eastAsia="宋体"/>
          <w:b/>
          <w:bCs w:val="0"/>
          <w:sz w:val="24"/>
          <w:szCs w:val="21"/>
        </w:rPr>
        <w:t>一览表</w:t>
      </w:r>
      <w:bookmarkEnd w:id="233"/>
    </w:p>
    <w:p w14:paraId="75A7C0F4">
      <w:pPr>
        <w:pStyle w:val="23"/>
        <w:spacing w:line="360" w:lineRule="auto"/>
        <w:rPr>
          <w:rFonts w:ascii="Times New Roman" w:hAnsi="Times New Roman"/>
          <w:b/>
          <w:sz w:val="24"/>
          <w:szCs w:val="21"/>
        </w:rPr>
      </w:pP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119"/>
        <w:gridCol w:w="2164"/>
        <w:gridCol w:w="2386"/>
      </w:tblGrid>
      <w:tr w14:paraId="6C92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C3EC6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Cs/>
                <w:sz w:val="24"/>
                <w:szCs w:val="24"/>
              </w:rPr>
            </w:pPr>
            <w:r>
              <w:rPr>
                <w:rFonts w:ascii="宋体" w:hAnsi="宋体" w:eastAsia="宋体"/>
                <w:bCs/>
                <w:sz w:val="24"/>
                <w:szCs w:val="24"/>
              </w:rPr>
              <w:t>序号</w:t>
            </w:r>
          </w:p>
        </w:tc>
        <w:tc>
          <w:tcPr>
            <w:tcW w:w="3119" w:type="dxa"/>
            <w:tcBorders>
              <w:top w:val="single" w:color="auto" w:sz="4" w:space="0"/>
              <w:left w:val="single" w:color="auto" w:sz="4" w:space="0"/>
              <w:bottom w:val="single" w:color="auto" w:sz="4" w:space="0"/>
              <w:right w:val="single" w:color="auto" w:sz="4" w:space="0"/>
            </w:tcBorders>
            <w:vAlign w:val="center"/>
          </w:tcPr>
          <w:p w14:paraId="5C0078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Cs/>
                <w:sz w:val="24"/>
                <w:szCs w:val="24"/>
                <w:lang w:val="en-US" w:eastAsia="zh-CN"/>
              </w:rPr>
            </w:pPr>
            <w:r>
              <w:rPr>
                <w:rFonts w:hint="eastAsia" w:ascii="宋体" w:hAnsi="宋体" w:eastAsia="宋体"/>
                <w:bCs/>
                <w:sz w:val="24"/>
                <w:szCs w:val="24"/>
                <w:lang w:val="en-US" w:eastAsia="zh-CN"/>
              </w:rPr>
              <w:t>项目名称</w:t>
            </w:r>
          </w:p>
        </w:tc>
        <w:tc>
          <w:tcPr>
            <w:tcW w:w="2164" w:type="dxa"/>
            <w:tcBorders>
              <w:top w:val="single" w:color="auto" w:sz="4" w:space="0"/>
              <w:left w:val="single" w:color="auto" w:sz="4" w:space="0"/>
              <w:bottom w:val="single" w:color="auto" w:sz="4" w:space="0"/>
              <w:right w:val="single" w:color="auto" w:sz="4" w:space="0"/>
            </w:tcBorders>
            <w:vAlign w:val="center"/>
          </w:tcPr>
          <w:p w14:paraId="5E569E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Cs/>
                <w:sz w:val="24"/>
                <w:szCs w:val="24"/>
                <w:lang w:val="en-US" w:eastAsia="zh-CN"/>
              </w:rPr>
            </w:pPr>
            <w:r>
              <w:rPr>
                <w:rFonts w:hint="eastAsia" w:ascii="宋体" w:hAnsi="宋体" w:eastAsia="宋体"/>
                <w:bCs/>
                <w:sz w:val="24"/>
                <w:szCs w:val="24"/>
                <w:lang w:val="en-US" w:eastAsia="zh-CN"/>
              </w:rPr>
              <w:t>采购单位</w:t>
            </w:r>
          </w:p>
        </w:tc>
        <w:tc>
          <w:tcPr>
            <w:tcW w:w="2386" w:type="dxa"/>
            <w:tcBorders>
              <w:top w:val="single" w:color="auto" w:sz="4" w:space="0"/>
              <w:left w:val="single" w:color="auto" w:sz="4" w:space="0"/>
              <w:bottom w:val="single" w:color="auto" w:sz="4" w:space="0"/>
              <w:right w:val="single" w:color="auto" w:sz="4" w:space="0"/>
            </w:tcBorders>
            <w:vAlign w:val="center"/>
          </w:tcPr>
          <w:p w14:paraId="6D2464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Cs/>
                <w:sz w:val="24"/>
                <w:szCs w:val="24"/>
              </w:rPr>
            </w:pPr>
            <w:r>
              <w:rPr>
                <w:rFonts w:hint="eastAsia" w:ascii="宋体" w:hAnsi="宋体" w:eastAsia="宋体"/>
                <w:bCs/>
                <w:sz w:val="24"/>
                <w:szCs w:val="24"/>
              </w:rPr>
              <w:t>合同签订日期</w:t>
            </w:r>
          </w:p>
        </w:tc>
      </w:tr>
      <w:tr w14:paraId="697A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38AE10D">
            <w:pPr>
              <w:pStyle w:val="23"/>
              <w:spacing w:line="360" w:lineRule="auto"/>
              <w:jc w:val="center"/>
              <w:rPr>
                <w:rFonts w:hAnsi="宋体"/>
                <w:bCs/>
                <w:sz w:val="24"/>
                <w:szCs w:val="24"/>
              </w:rPr>
            </w:pPr>
            <w:r>
              <w:rPr>
                <w:rFonts w:hAnsi="宋体"/>
                <w:bCs/>
                <w:sz w:val="24"/>
                <w:szCs w:val="24"/>
              </w:rPr>
              <w:t>1</w:t>
            </w:r>
          </w:p>
        </w:tc>
        <w:tc>
          <w:tcPr>
            <w:tcW w:w="3119" w:type="dxa"/>
            <w:tcBorders>
              <w:top w:val="single" w:color="auto" w:sz="4" w:space="0"/>
              <w:left w:val="single" w:color="auto" w:sz="4" w:space="0"/>
              <w:bottom w:val="single" w:color="auto" w:sz="4" w:space="0"/>
              <w:right w:val="single" w:color="auto" w:sz="4" w:space="0"/>
            </w:tcBorders>
            <w:vAlign w:val="center"/>
          </w:tcPr>
          <w:p w14:paraId="0B1B46FE">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57CD89EE">
            <w:pPr>
              <w:adjustRightInd w:val="0"/>
              <w:snapToGrid w:val="0"/>
              <w:spacing w:line="360" w:lineRule="auto"/>
              <w:jc w:val="center"/>
              <w:rPr>
                <w:rFonts w:ascii="宋体" w:hAnsi="宋体" w:eastAsia="宋体"/>
                <w:bCs/>
                <w:sz w:val="24"/>
                <w:szCs w:val="24"/>
                <w:u w:val="single"/>
              </w:rPr>
            </w:pPr>
            <w:r>
              <w:rPr>
                <w:rFonts w:hint="eastAsia" w:ascii="宋体" w:hAnsi="宋体" w:eastAsia="宋体"/>
                <w:bCs/>
                <w:sz w:val="24"/>
                <w:szCs w:val="24"/>
                <w:lang w:val="en-US" w:eastAsia="zh-CN"/>
              </w:rPr>
              <w:t>（客户名称）</w:t>
            </w:r>
          </w:p>
        </w:tc>
        <w:tc>
          <w:tcPr>
            <w:tcW w:w="2386" w:type="dxa"/>
            <w:tcBorders>
              <w:top w:val="single" w:color="auto" w:sz="4" w:space="0"/>
              <w:left w:val="single" w:color="auto" w:sz="4" w:space="0"/>
              <w:bottom w:val="single" w:color="auto" w:sz="4" w:space="0"/>
              <w:right w:val="single" w:color="auto" w:sz="4" w:space="0"/>
            </w:tcBorders>
            <w:vAlign w:val="center"/>
          </w:tcPr>
          <w:p w14:paraId="7F2A5D67">
            <w:pPr>
              <w:adjustRightInd w:val="0"/>
              <w:snapToGrid w:val="0"/>
              <w:spacing w:line="360" w:lineRule="auto"/>
              <w:jc w:val="center"/>
              <w:rPr>
                <w:rFonts w:ascii="宋体" w:hAnsi="宋体" w:eastAsia="宋体"/>
                <w:bCs/>
                <w:sz w:val="24"/>
                <w:szCs w:val="24"/>
                <w:u w:val="single"/>
              </w:rPr>
            </w:pPr>
          </w:p>
        </w:tc>
      </w:tr>
      <w:tr w14:paraId="4B9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2714C2">
            <w:pPr>
              <w:pStyle w:val="23"/>
              <w:spacing w:line="360" w:lineRule="auto"/>
              <w:jc w:val="center"/>
              <w:rPr>
                <w:rFonts w:hAnsi="宋体"/>
                <w:bCs/>
                <w:sz w:val="24"/>
                <w:szCs w:val="24"/>
              </w:rPr>
            </w:pPr>
            <w:r>
              <w:rPr>
                <w:rFonts w:hAnsi="宋体"/>
                <w:bCs/>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14:paraId="4F162B19">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2167F584">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167A0545">
            <w:pPr>
              <w:adjustRightInd w:val="0"/>
              <w:snapToGrid w:val="0"/>
              <w:spacing w:line="360" w:lineRule="auto"/>
              <w:jc w:val="center"/>
              <w:rPr>
                <w:rFonts w:ascii="宋体" w:hAnsi="宋体" w:eastAsia="宋体"/>
                <w:bCs/>
                <w:sz w:val="24"/>
                <w:szCs w:val="24"/>
                <w:u w:val="single"/>
              </w:rPr>
            </w:pPr>
          </w:p>
        </w:tc>
      </w:tr>
      <w:tr w14:paraId="3CC2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AC81E2C">
            <w:pPr>
              <w:pStyle w:val="23"/>
              <w:spacing w:line="360" w:lineRule="auto"/>
              <w:jc w:val="center"/>
              <w:rPr>
                <w:rFonts w:hAnsi="宋体"/>
                <w:bCs/>
                <w:sz w:val="24"/>
                <w:szCs w:val="24"/>
              </w:rPr>
            </w:pPr>
            <w:r>
              <w:rPr>
                <w:rFonts w:hAnsi="宋体"/>
                <w:bCs/>
                <w:sz w:val="24"/>
                <w:szCs w:val="24"/>
              </w:rPr>
              <w:t>3</w:t>
            </w:r>
          </w:p>
        </w:tc>
        <w:tc>
          <w:tcPr>
            <w:tcW w:w="3119" w:type="dxa"/>
            <w:tcBorders>
              <w:top w:val="single" w:color="auto" w:sz="4" w:space="0"/>
              <w:left w:val="single" w:color="auto" w:sz="4" w:space="0"/>
              <w:bottom w:val="single" w:color="auto" w:sz="4" w:space="0"/>
              <w:right w:val="single" w:color="auto" w:sz="4" w:space="0"/>
            </w:tcBorders>
            <w:vAlign w:val="center"/>
          </w:tcPr>
          <w:p w14:paraId="4C4EC633">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21BC094">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219F6EC8">
            <w:pPr>
              <w:adjustRightInd w:val="0"/>
              <w:snapToGrid w:val="0"/>
              <w:spacing w:line="360" w:lineRule="auto"/>
              <w:jc w:val="center"/>
              <w:rPr>
                <w:rFonts w:ascii="宋体" w:hAnsi="宋体" w:eastAsia="宋体"/>
                <w:bCs/>
                <w:sz w:val="24"/>
                <w:szCs w:val="24"/>
                <w:u w:val="single"/>
              </w:rPr>
            </w:pPr>
          </w:p>
        </w:tc>
      </w:tr>
      <w:tr w14:paraId="2F49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03718E6">
            <w:pPr>
              <w:pStyle w:val="23"/>
              <w:spacing w:line="360" w:lineRule="auto"/>
              <w:jc w:val="center"/>
              <w:rPr>
                <w:rFonts w:hAnsi="宋体"/>
                <w:bCs/>
                <w:sz w:val="24"/>
                <w:szCs w:val="24"/>
              </w:rPr>
            </w:pPr>
            <w:r>
              <w:rPr>
                <w:rFonts w:hAnsi="宋体"/>
                <w:bCs/>
                <w:sz w:val="24"/>
                <w:szCs w:val="24"/>
              </w:rPr>
              <w:t>4</w:t>
            </w:r>
          </w:p>
        </w:tc>
        <w:tc>
          <w:tcPr>
            <w:tcW w:w="3119" w:type="dxa"/>
            <w:tcBorders>
              <w:top w:val="single" w:color="auto" w:sz="4" w:space="0"/>
              <w:left w:val="single" w:color="auto" w:sz="4" w:space="0"/>
              <w:bottom w:val="single" w:color="auto" w:sz="4" w:space="0"/>
              <w:right w:val="single" w:color="auto" w:sz="4" w:space="0"/>
            </w:tcBorders>
            <w:vAlign w:val="center"/>
          </w:tcPr>
          <w:p w14:paraId="11299015">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1DE6CC6">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3F5D94D0">
            <w:pPr>
              <w:adjustRightInd w:val="0"/>
              <w:snapToGrid w:val="0"/>
              <w:spacing w:line="360" w:lineRule="auto"/>
              <w:jc w:val="center"/>
              <w:rPr>
                <w:rFonts w:ascii="宋体" w:hAnsi="宋体" w:eastAsia="宋体"/>
                <w:bCs/>
                <w:sz w:val="24"/>
                <w:szCs w:val="24"/>
                <w:u w:val="single"/>
              </w:rPr>
            </w:pPr>
          </w:p>
        </w:tc>
      </w:tr>
      <w:tr w14:paraId="203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618F284">
            <w:pPr>
              <w:pStyle w:val="23"/>
              <w:spacing w:line="360" w:lineRule="auto"/>
              <w:jc w:val="center"/>
              <w:rPr>
                <w:rFonts w:hAnsi="宋体"/>
                <w:bCs/>
                <w:sz w:val="24"/>
                <w:szCs w:val="24"/>
              </w:rPr>
            </w:pPr>
            <w:r>
              <w:rPr>
                <w:rFonts w:hAnsi="宋体"/>
                <w:bCs/>
                <w:sz w:val="24"/>
                <w:szCs w:val="24"/>
              </w:rPr>
              <w:t>5</w:t>
            </w:r>
          </w:p>
        </w:tc>
        <w:tc>
          <w:tcPr>
            <w:tcW w:w="3119" w:type="dxa"/>
            <w:tcBorders>
              <w:top w:val="single" w:color="auto" w:sz="4" w:space="0"/>
              <w:left w:val="single" w:color="auto" w:sz="4" w:space="0"/>
              <w:bottom w:val="single" w:color="auto" w:sz="4" w:space="0"/>
              <w:right w:val="single" w:color="auto" w:sz="4" w:space="0"/>
            </w:tcBorders>
            <w:vAlign w:val="center"/>
          </w:tcPr>
          <w:p w14:paraId="1A88B0D9">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1537875C">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4D268059">
            <w:pPr>
              <w:adjustRightInd w:val="0"/>
              <w:snapToGrid w:val="0"/>
              <w:spacing w:line="360" w:lineRule="auto"/>
              <w:jc w:val="center"/>
              <w:rPr>
                <w:rFonts w:ascii="宋体" w:hAnsi="宋体" w:eastAsia="宋体"/>
                <w:bCs/>
                <w:sz w:val="24"/>
                <w:szCs w:val="24"/>
                <w:u w:val="single"/>
              </w:rPr>
            </w:pPr>
          </w:p>
        </w:tc>
      </w:tr>
      <w:tr w14:paraId="4326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598A9DA">
            <w:pPr>
              <w:pStyle w:val="23"/>
              <w:spacing w:line="360" w:lineRule="auto"/>
              <w:jc w:val="center"/>
              <w:rPr>
                <w:rFonts w:hAnsi="宋体"/>
                <w:bCs/>
                <w:sz w:val="24"/>
                <w:szCs w:val="24"/>
              </w:rPr>
            </w:pPr>
            <w:r>
              <w:rPr>
                <w:rFonts w:hAnsi="宋体"/>
                <w:bCs/>
                <w:sz w:val="24"/>
                <w:szCs w:val="24"/>
              </w:rPr>
              <w:t>6</w:t>
            </w:r>
          </w:p>
        </w:tc>
        <w:tc>
          <w:tcPr>
            <w:tcW w:w="3119" w:type="dxa"/>
            <w:tcBorders>
              <w:top w:val="single" w:color="auto" w:sz="4" w:space="0"/>
              <w:left w:val="single" w:color="auto" w:sz="4" w:space="0"/>
              <w:bottom w:val="single" w:color="auto" w:sz="4" w:space="0"/>
              <w:right w:val="single" w:color="auto" w:sz="4" w:space="0"/>
            </w:tcBorders>
            <w:vAlign w:val="center"/>
          </w:tcPr>
          <w:p w14:paraId="7B2614CF">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6BFD7B39">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32C903EA">
            <w:pPr>
              <w:adjustRightInd w:val="0"/>
              <w:snapToGrid w:val="0"/>
              <w:spacing w:line="360" w:lineRule="auto"/>
              <w:jc w:val="center"/>
              <w:rPr>
                <w:rFonts w:ascii="宋体" w:hAnsi="宋体" w:eastAsia="宋体"/>
                <w:bCs/>
                <w:sz w:val="24"/>
                <w:szCs w:val="24"/>
                <w:u w:val="single"/>
              </w:rPr>
            </w:pPr>
          </w:p>
        </w:tc>
      </w:tr>
      <w:tr w14:paraId="69CA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006FB84">
            <w:pPr>
              <w:pStyle w:val="23"/>
              <w:spacing w:line="360" w:lineRule="auto"/>
              <w:jc w:val="center"/>
              <w:rPr>
                <w:rFonts w:hAnsi="宋体"/>
                <w:bCs/>
                <w:sz w:val="24"/>
                <w:szCs w:val="24"/>
              </w:rPr>
            </w:pPr>
            <w:r>
              <w:rPr>
                <w:rFonts w:hAnsi="宋体"/>
                <w:bCs/>
                <w:sz w:val="24"/>
                <w:szCs w:val="24"/>
              </w:rPr>
              <w:t>…</w:t>
            </w:r>
          </w:p>
        </w:tc>
        <w:tc>
          <w:tcPr>
            <w:tcW w:w="3119" w:type="dxa"/>
            <w:tcBorders>
              <w:top w:val="single" w:color="auto" w:sz="4" w:space="0"/>
              <w:left w:val="single" w:color="auto" w:sz="4" w:space="0"/>
              <w:bottom w:val="single" w:color="auto" w:sz="4" w:space="0"/>
              <w:right w:val="single" w:color="auto" w:sz="4" w:space="0"/>
            </w:tcBorders>
            <w:vAlign w:val="center"/>
          </w:tcPr>
          <w:p w14:paraId="7019C3E0">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5888610">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7C9AD41B">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w:t>
      </w:r>
      <w:r>
        <w:rPr>
          <w:rFonts w:hint="eastAsia" w:ascii="Times New Roman" w:hAnsi="Times New Roman"/>
          <w:sz w:val="24"/>
          <w:szCs w:val="21"/>
          <w:lang w:val="en-US" w:eastAsia="zh-CN"/>
        </w:rPr>
        <w:t>至少一份原始合同</w:t>
      </w:r>
      <w:r>
        <w:rPr>
          <w:rFonts w:hint="eastAsia" w:ascii="Times New Roman" w:hAnsi="Times New Roman"/>
          <w:sz w:val="24"/>
          <w:szCs w:val="21"/>
        </w:rPr>
        <w:t>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34"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34"/>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4"/>
        <w:snapToGrid w:val="0"/>
        <w:spacing w:before="120" w:beforeLines="50" w:after="120" w:afterLines="50" w:line="360" w:lineRule="auto"/>
        <w:jc w:val="center"/>
        <w:rPr>
          <w:rFonts w:ascii="Times New Roman" w:hAnsi="Times New Roman" w:eastAsia="宋体"/>
          <w:bCs/>
          <w:sz w:val="24"/>
          <w:szCs w:val="21"/>
        </w:rPr>
      </w:pPr>
      <w:bookmarkStart w:id="235"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35"/>
    </w:p>
    <w:p w14:paraId="60A54CF7">
      <w:pPr>
        <w:pStyle w:val="5"/>
      </w:pPr>
    </w:p>
    <w:p w14:paraId="07D342C4">
      <w:pPr>
        <w:pStyle w:val="5"/>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rPr>
        <w:t>投标人名称（加盖公章）：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1312"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1312;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4"/>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36" w:name="_Toc416771369"/>
      <w:bookmarkStart w:id="237" w:name="_Toc416770259"/>
      <w:bookmarkStart w:id="238" w:name="_Toc275865607"/>
      <w:bookmarkStart w:id="239" w:name="_Toc50736477"/>
      <w:bookmarkStart w:id="240" w:name="_Toc169861833"/>
      <w:bookmarkStart w:id="241" w:name="_Toc50737297"/>
      <w:bookmarkStart w:id="242" w:name="_Toc50737329"/>
      <w:bookmarkStart w:id="243" w:name="_Toc52165081"/>
      <w:bookmarkStart w:id="244" w:name="_Toc410736181"/>
      <w:bookmarkStart w:id="245" w:name="_Toc410738980"/>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36"/>
      <w:bookmarkEnd w:id="237"/>
      <w:bookmarkEnd w:id="238"/>
      <w:bookmarkEnd w:id="239"/>
      <w:bookmarkEnd w:id="240"/>
      <w:bookmarkEnd w:id="241"/>
      <w:bookmarkEnd w:id="242"/>
      <w:bookmarkEnd w:id="243"/>
      <w:bookmarkEnd w:id="244"/>
      <w:bookmarkEnd w:id="245"/>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lang w:eastAsia="zh-CN"/>
        </w:rPr>
        <w:t>开平市中心医院2025年护士鞋采购项目</w:t>
      </w:r>
      <w:r>
        <w:rPr>
          <w:rFonts w:hint="eastAsia" w:ascii="宋体" w:hAnsi="Courier New" w:eastAsia="宋体"/>
          <w:sz w:val="24"/>
          <w:szCs w:val="24"/>
          <w:u w:val="single"/>
        </w:rPr>
        <w:t xml:space="preserve"> </w:t>
      </w:r>
      <w:r>
        <w:rPr>
          <w:rFonts w:hint="eastAsia" w:ascii="宋体" w:hAnsi="Courier New" w:eastAsia="宋体"/>
          <w:sz w:val="24"/>
          <w:szCs w:val="24"/>
        </w:rPr>
        <w:t>项目的投标，以本公司名义处理一切与之有关的事务。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46" w:name="_Toc467035692"/>
      <w:bookmarkStart w:id="247" w:name="_Toc480171921"/>
      <w:bookmarkStart w:id="248" w:name="_Toc464021124"/>
      <w:bookmarkStart w:id="249" w:name="_Toc480021092"/>
      <w:bookmarkStart w:id="250" w:name="_Toc479991624"/>
      <w:bookmarkStart w:id="251" w:name="_Toc467236781"/>
      <w:bookmarkStart w:id="252" w:name="_Toc468157577"/>
      <w:bookmarkStart w:id="253" w:name="_Toc480010749"/>
      <w:bookmarkStart w:id="254" w:name="_Toc467987864"/>
      <w:bookmarkStart w:id="255" w:name="_Toc35233731"/>
      <w:bookmarkStart w:id="256" w:name="_Toc468606072"/>
      <w:bookmarkStart w:id="257" w:name="_Toc480020296"/>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60288;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4"/>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4"/>
        <w:snapToGrid w:val="0"/>
        <w:spacing w:before="120" w:beforeLines="50" w:after="120" w:afterLines="50" w:line="360" w:lineRule="auto"/>
        <w:jc w:val="center"/>
        <w:rPr>
          <w:rFonts w:ascii="Times New Roman" w:hAnsi="Times New Roman" w:eastAsia="宋体"/>
          <w:bCs/>
          <w:sz w:val="24"/>
          <w:szCs w:val="21"/>
        </w:rPr>
      </w:pPr>
      <w:bookmarkStart w:id="258"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58"/>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w:t>
      </w:r>
      <w:r>
        <w:rPr>
          <w:rFonts w:hint="eastAsia" w:hAnsi="宋体"/>
          <w:sz w:val="24"/>
          <w:u w:val="single"/>
          <w:lang w:eastAsia="zh-CN"/>
        </w:rPr>
        <w:t>开平市中心医院2025年护士鞋采购项目</w:t>
      </w:r>
      <w:r>
        <w:rPr>
          <w:rFonts w:hint="eastAsia" w:hAnsi="宋体"/>
          <w:sz w:val="24"/>
          <w:u w:val="single"/>
        </w:rPr>
        <w:t>）</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4"/>
        <w:snapToGrid w:val="0"/>
        <w:spacing w:before="120" w:beforeLines="50" w:after="120" w:afterLines="50" w:line="360" w:lineRule="auto"/>
        <w:jc w:val="center"/>
        <w:rPr>
          <w:rFonts w:ascii="Times New Roman" w:hAnsi="Times New Roman" w:eastAsia="宋体"/>
          <w:bCs/>
          <w:sz w:val="24"/>
          <w:szCs w:val="21"/>
        </w:rPr>
      </w:pPr>
      <w:bookmarkStart w:id="259"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46"/>
      <w:bookmarkEnd w:id="247"/>
      <w:bookmarkEnd w:id="248"/>
      <w:bookmarkEnd w:id="249"/>
      <w:bookmarkEnd w:id="250"/>
      <w:bookmarkEnd w:id="251"/>
      <w:bookmarkEnd w:id="252"/>
      <w:bookmarkEnd w:id="253"/>
      <w:bookmarkEnd w:id="254"/>
      <w:bookmarkEnd w:id="255"/>
      <w:bookmarkEnd w:id="256"/>
      <w:bookmarkEnd w:id="257"/>
      <w:r>
        <w:rPr>
          <w:rFonts w:ascii="Times New Roman" w:hAnsi="Times New Roman" w:eastAsia="宋体"/>
          <w:bCs/>
          <w:sz w:val="24"/>
          <w:szCs w:val="21"/>
        </w:rPr>
        <w:t>响应资格证明书</w:t>
      </w:r>
      <w:bookmarkEnd w:id="259"/>
    </w:p>
    <w:p w14:paraId="32FAE947">
      <w:pPr>
        <w:pStyle w:val="5"/>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74577AF3">
      <w:pPr>
        <w:spacing w:line="360" w:lineRule="auto"/>
        <w:rPr>
          <w:rFonts w:hint="eastAsia" w:eastAsia="宋体"/>
          <w:sz w:val="24"/>
          <w:szCs w:val="21"/>
          <w:lang w:eastAsia="zh-CN"/>
        </w:rPr>
      </w:pPr>
      <w:r>
        <w:rPr>
          <w:rFonts w:hint="eastAsia" w:eastAsia="宋体"/>
          <w:sz w:val="24"/>
          <w:szCs w:val="21"/>
          <w:lang w:val="en-US" w:eastAsia="zh-CN"/>
        </w:rPr>
        <w:t>2.</w:t>
      </w:r>
      <w:r>
        <w:rPr>
          <w:rFonts w:hint="eastAsia" w:eastAsia="宋体"/>
          <w:sz w:val="24"/>
          <w:szCs w:val="21"/>
        </w:rPr>
        <w:t>报名有效期内报名企业“信用中国网站【信用服务】菜单中失信被执行人、重大税收违法案件当事人、政府采购不良行为记录、“中国政府采购网”政府采购严重违法失信行为记录名单查询结果、“国家企业信用信息公示系统”完整的信用报告</w:t>
      </w:r>
      <w:r>
        <w:rPr>
          <w:rFonts w:hint="eastAsia" w:eastAsia="宋体"/>
          <w:sz w:val="24"/>
          <w:szCs w:val="21"/>
          <w:lang w:eastAsia="zh-CN"/>
        </w:rPr>
        <w:t>。</w:t>
      </w:r>
    </w:p>
    <w:p w14:paraId="11F4A9C2">
      <w:pPr>
        <w:spacing w:line="360" w:lineRule="auto"/>
        <w:rPr>
          <w:rFonts w:hint="eastAsia" w:eastAsia="宋体"/>
          <w:sz w:val="24"/>
          <w:szCs w:val="21"/>
        </w:rPr>
      </w:pPr>
      <w:r>
        <w:rPr>
          <w:rFonts w:hint="eastAsia" w:eastAsia="宋体"/>
          <w:sz w:val="24"/>
          <w:szCs w:val="21"/>
        </w:rPr>
        <w:t>（查询结果需显示查询时间，查询后右击鼠标选择“打印”）</w:t>
      </w:r>
    </w:p>
    <w:p w14:paraId="2B0A4ABE">
      <w:pPr>
        <w:spacing w:line="360" w:lineRule="auto"/>
        <w:rPr>
          <w:rFonts w:hint="default" w:eastAsia="宋体"/>
          <w:sz w:val="24"/>
          <w:szCs w:val="21"/>
          <w:lang w:val="en-US" w:eastAsia="zh-CN"/>
        </w:rPr>
      </w:pPr>
      <w:r>
        <w:rPr>
          <w:rFonts w:hint="eastAsia" w:eastAsia="宋体"/>
          <w:sz w:val="24"/>
          <w:szCs w:val="21"/>
          <w:lang w:val="en-US" w:eastAsia="zh-CN"/>
        </w:rPr>
        <w:t>3.企业近半年任意三个月缴纳税收证明和企业近半年任意三个月社会保障资金证明。</w:t>
      </w:r>
    </w:p>
    <w:p w14:paraId="41B99C7E">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4"/>
        <w:snapToGrid w:val="0"/>
        <w:spacing w:before="120" w:beforeLines="50" w:after="120" w:afterLines="50" w:line="360" w:lineRule="auto"/>
        <w:jc w:val="center"/>
        <w:rPr>
          <w:rFonts w:ascii="Times New Roman" w:hAnsi="Times New Roman" w:eastAsia="宋体"/>
          <w:bCs/>
          <w:sz w:val="24"/>
          <w:szCs w:val="21"/>
        </w:rPr>
      </w:pPr>
      <w:bookmarkStart w:id="260"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60"/>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本供应商已详细阅读了</w:t>
      </w:r>
      <w:r>
        <w:rPr>
          <w:rFonts w:hint="eastAsia" w:ascii="宋体" w:hAnsi="宋体" w:eastAsia="宋体"/>
          <w:sz w:val="24"/>
          <w:szCs w:val="24"/>
          <w:u w:val="single"/>
          <w:lang w:eastAsia="zh-CN"/>
        </w:rPr>
        <w:t>开平市中心医院2025年护士鞋采购项目</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w:t>
      </w:r>
      <w:r>
        <w:rPr>
          <w:rFonts w:hint="eastAsia" w:ascii="宋体" w:hAnsi="宋体" w:eastAsia="宋体"/>
          <w:sz w:val="24"/>
          <w:szCs w:val="24"/>
          <w:lang w:eastAsia="zh-CN"/>
        </w:rPr>
        <w:t>遴选</w:t>
      </w:r>
      <w:r>
        <w:rPr>
          <w:rFonts w:hint="eastAsia" w:ascii="宋体" w:hAnsi="宋体" w:eastAsia="宋体"/>
          <w:sz w:val="24"/>
          <w:szCs w:val="24"/>
        </w:rPr>
        <w:t>文件及施工合同、工程量清单、技术规范等要求完成施工任务，按时竣工验收并向采购人移交工程。工程质量按照投标文件的承诺并满足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2.遵守中华人民共和国、广东省、江门市有关招标投标的法律法规规定，自觉维护建筑市场秩序。否则，同意被废除投标资格并接受处罚。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3.保证投标文件内容无任何虚假。若评标过程中查出有虚假，同意作无效投标文件处理并被没收投标担保，若中标之后查出有虚假，同意废除中标资格并被没收投标担保。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4.保证投标文件不存在低于成本的恶意报价行为。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文件及中标通知书规定签定施工合同。否则，同意接受采购人违约处罚并被没收投标担保。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6.保证按照施工合同约定完成施工合同范围内的全部内容。否则，同意接受采购人对供应商违约处理。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7.保证中标之后不转包、不用挂靠施工队伍，若分包将征得采购人同意并遵守相关法律法规。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文件要求向招标项目派驻管理人员及投入机械设备。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9.保证中标之后密切配合建设单位及监理单位开展工作，服从建设单位驻现场代表及现场监理人员的监督管理。</w:t>
      </w:r>
    </w:p>
    <w:p w14:paraId="3D4855ED">
      <w:pPr>
        <w:spacing w:line="360" w:lineRule="auto"/>
        <w:ind w:firstLine="480" w:firstLineChars="200"/>
        <w:rPr>
          <w:rFonts w:ascii="宋体" w:hAnsi="宋体" w:eastAsia="宋体"/>
          <w:sz w:val="24"/>
          <w:szCs w:val="24"/>
        </w:rPr>
      </w:pPr>
      <w:r>
        <w:rPr>
          <w:rFonts w:hint="eastAsia" w:ascii="宋体" w:hAnsi="宋体" w:eastAsia="宋体"/>
          <w:sz w:val="24"/>
          <w:szCs w:val="24"/>
        </w:rPr>
        <w:t>10.保证按</w:t>
      </w:r>
      <w:r>
        <w:rPr>
          <w:rFonts w:hint="eastAsia" w:ascii="宋体" w:hAnsi="宋体" w:eastAsia="宋体"/>
          <w:sz w:val="24"/>
          <w:szCs w:val="24"/>
          <w:lang w:eastAsia="zh-CN"/>
        </w:rPr>
        <w:t>遴选</w:t>
      </w:r>
      <w:r>
        <w:rPr>
          <w:rFonts w:hint="eastAsia" w:ascii="宋体" w:hAnsi="宋体" w:eastAsia="宋体"/>
          <w:sz w:val="24"/>
          <w:szCs w:val="24"/>
        </w:rPr>
        <w:t>文件及施工合同约定的原则处理造价调整事宜，不发生签署施工合同之后恶意提高造价的行为。</w:t>
      </w:r>
    </w:p>
    <w:p w14:paraId="10C2CAEF">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p>
    <w:sectPr>
      <w:headerReference r:id="rId10" w:type="first"/>
      <w:footerReference r:id="rId12" w:type="first"/>
      <w:headerReference r:id="rId9" w:type="default"/>
      <w:footerReference r:id="rId11" w:type="default"/>
      <w:pgSz w:w="11926" w:h="16867"/>
      <w:pgMar w:top="1440" w:right="1797" w:bottom="1440" w:left="1797" w:header="720" w:footer="720" w:gutter="0"/>
      <w:pgNumType w:fmt="decimal"/>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009">
    <w:pPr>
      <w:pStyle w:val="28"/>
      <w:ind w:right="180" w:firstLine="4320" w:firstLineChars="240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57E74">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257E74">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2F1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89803">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E89803">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13A2">
    <w:pPr>
      <w:pStyle w:val="28"/>
      <w:ind w:right="180" w:firstLine="4320" w:firstLineChars="240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1661C">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11661C">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204D">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FBFE5">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FBFE5">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72DB4">
                          <w:pPr>
                            <w:pStyle w:val="2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3772DB4">
                    <w:pPr>
                      <w:pStyle w:val="2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3BC7">
    <w:pPr>
      <w:pStyle w:val="29"/>
      <w:rPr>
        <w:rFonts w:hint="eastAsia" w:eastAsia="宋体"/>
        <w:lang w:eastAsia="zh-CN"/>
      </w:rPr>
    </w:pPr>
    <w:r>
      <w:rPr>
        <w:rFonts w:hint="eastAsia" w:ascii="华文新魏" w:hAnsi="华文新魏" w:eastAsia="华文新魏" w:cs="华文新魏"/>
        <w:b/>
        <w:bCs/>
        <w:sz w:val="20"/>
        <w:szCs w:val="20"/>
        <w:lang w:eastAsia="zh-CN"/>
      </w:rPr>
      <w:t>开平市中心医院2025年护士鞋采购项目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76F4">
    <w:pPr>
      <w:pStyle w:val="29"/>
      <w:rPr>
        <w:rFonts w:hint="default" w:ascii="宋体" w:hAnsi="宋体" w:eastAsia="宋体" w:cs="宋体"/>
        <w:b/>
        <w:bCs/>
        <w:sz w:val="20"/>
        <w:szCs w:val="20"/>
        <w:lang w:val="en-US" w:eastAsia="zh-CN"/>
      </w:rPr>
    </w:pPr>
    <w:r>
      <w:rPr>
        <w:rFonts w:hint="eastAsia" w:ascii="宋体" w:hAnsi="宋体" w:eastAsia="宋体" w:cs="宋体"/>
        <w:b/>
        <w:bCs/>
        <w:sz w:val="20"/>
        <w:szCs w:val="20"/>
      </w:rPr>
      <w:t>开平市中心医院</w:t>
    </w:r>
    <w:r>
      <w:rPr>
        <w:rFonts w:hint="eastAsia" w:hAnsi="宋体" w:cs="宋体"/>
        <w:b/>
        <w:bCs/>
        <w:sz w:val="20"/>
        <w:szCs w:val="20"/>
        <w:lang w:val="en-US" w:eastAsia="zh-CN"/>
      </w:rPr>
      <w:t>2025年护士鞋采购项目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w:t>
    </w:r>
    <w:r>
      <w:rPr>
        <w:rFonts w:hint="eastAsia" w:ascii="宋体" w:hAnsi="宋体" w:eastAsia="宋体"/>
        <w:sz w:val="18"/>
        <w:szCs w:val="18"/>
        <w:lang w:eastAsia="zh-CN"/>
      </w:rPr>
      <w:t>开平市中心医院</w:t>
    </w:r>
    <w:r>
      <w:rPr>
        <w:rFonts w:hint="eastAsia" w:ascii="宋体" w:hAnsi="宋体" w:eastAsia="宋体"/>
        <w:sz w:val="18"/>
        <w:szCs w:val="18"/>
        <w:lang w:val="en-US" w:eastAsia="zh-CN"/>
      </w:rPr>
      <w:t xml:space="preserve">2025年护士鞋采购项目           </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374"/>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39C407F"/>
    <w:rsid w:val="04F031FB"/>
    <w:rsid w:val="05D4309B"/>
    <w:rsid w:val="07456CFC"/>
    <w:rsid w:val="0750067A"/>
    <w:rsid w:val="07685361"/>
    <w:rsid w:val="08181F45"/>
    <w:rsid w:val="083A3F7E"/>
    <w:rsid w:val="09354491"/>
    <w:rsid w:val="0B2E5519"/>
    <w:rsid w:val="0B697506"/>
    <w:rsid w:val="0BBE7E63"/>
    <w:rsid w:val="0C651FA7"/>
    <w:rsid w:val="0F720C87"/>
    <w:rsid w:val="0F7D59F6"/>
    <w:rsid w:val="10B10FD7"/>
    <w:rsid w:val="11113EA3"/>
    <w:rsid w:val="124F42B9"/>
    <w:rsid w:val="125F0C79"/>
    <w:rsid w:val="13252204"/>
    <w:rsid w:val="13B95037"/>
    <w:rsid w:val="154811A8"/>
    <w:rsid w:val="15FB1C74"/>
    <w:rsid w:val="16B65F5A"/>
    <w:rsid w:val="171D4DF7"/>
    <w:rsid w:val="18540B58"/>
    <w:rsid w:val="19120228"/>
    <w:rsid w:val="191D51C7"/>
    <w:rsid w:val="194D51B6"/>
    <w:rsid w:val="1A1A7F48"/>
    <w:rsid w:val="1B3C1DD8"/>
    <w:rsid w:val="1C22302A"/>
    <w:rsid w:val="1CA668CE"/>
    <w:rsid w:val="1D8614B0"/>
    <w:rsid w:val="1D996CC8"/>
    <w:rsid w:val="1E177425"/>
    <w:rsid w:val="1EA26D96"/>
    <w:rsid w:val="204563CC"/>
    <w:rsid w:val="21B90060"/>
    <w:rsid w:val="239E1A70"/>
    <w:rsid w:val="23FB7914"/>
    <w:rsid w:val="2459377B"/>
    <w:rsid w:val="24AD2BCD"/>
    <w:rsid w:val="24CA0A5A"/>
    <w:rsid w:val="264C077C"/>
    <w:rsid w:val="268D51D4"/>
    <w:rsid w:val="26A72A02"/>
    <w:rsid w:val="289363DE"/>
    <w:rsid w:val="28EA443D"/>
    <w:rsid w:val="29042D2C"/>
    <w:rsid w:val="2AE46658"/>
    <w:rsid w:val="2B671526"/>
    <w:rsid w:val="2BCF782F"/>
    <w:rsid w:val="2BE97B66"/>
    <w:rsid w:val="2C3529C8"/>
    <w:rsid w:val="2CC74842"/>
    <w:rsid w:val="2E5A3C96"/>
    <w:rsid w:val="2F511A30"/>
    <w:rsid w:val="2F8C7F5C"/>
    <w:rsid w:val="2FB2501E"/>
    <w:rsid w:val="308952B0"/>
    <w:rsid w:val="30DC34B8"/>
    <w:rsid w:val="32147DC4"/>
    <w:rsid w:val="33CD3272"/>
    <w:rsid w:val="33E645DC"/>
    <w:rsid w:val="346F60D7"/>
    <w:rsid w:val="34C374AD"/>
    <w:rsid w:val="353C45ED"/>
    <w:rsid w:val="35616529"/>
    <w:rsid w:val="357905BC"/>
    <w:rsid w:val="35FD12B2"/>
    <w:rsid w:val="36870A2A"/>
    <w:rsid w:val="370C56F3"/>
    <w:rsid w:val="373874DE"/>
    <w:rsid w:val="37904D56"/>
    <w:rsid w:val="37F124D5"/>
    <w:rsid w:val="39176F90"/>
    <w:rsid w:val="39677CC5"/>
    <w:rsid w:val="39F723CF"/>
    <w:rsid w:val="3B0864E3"/>
    <w:rsid w:val="3C21710D"/>
    <w:rsid w:val="3CEA39E9"/>
    <w:rsid w:val="3D400BA9"/>
    <w:rsid w:val="3DF95A66"/>
    <w:rsid w:val="3E4B6A9B"/>
    <w:rsid w:val="3E8A0FA4"/>
    <w:rsid w:val="3EB428B0"/>
    <w:rsid w:val="3EB6253E"/>
    <w:rsid w:val="3FAA5D1E"/>
    <w:rsid w:val="40546F2B"/>
    <w:rsid w:val="40A85AB9"/>
    <w:rsid w:val="41582E49"/>
    <w:rsid w:val="418D7D70"/>
    <w:rsid w:val="42EA0B36"/>
    <w:rsid w:val="433F5D44"/>
    <w:rsid w:val="43E550B8"/>
    <w:rsid w:val="44B553BD"/>
    <w:rsid w:val="457B3CD9"/>
    <w:rsid w:val="45BF09A2"/>
    <w:rsid w:val="45D81D34"/>
    <w:rsid w:val="45EB1BE1"/>
    <w:rsid w:val="467A7452"/>
    <w:rsid w:val="4716133E"/>
    <w:rsid w:val="484315B6"/>
    <w:rsid w:val="48C8585F"/>
    <w:rsid w:val="49940732"/>
    <w:rsid w:val="4A646777"/>
    <w:rsid w:val="4A880DD3"/>
    <w:rsid w:val="4E055E8C"/>
    <w:rsid w:val="4F3F76F2"/>
    <w:rsid w:val="4FAD07BD"/>
    <w:rsid w:val="4FDE15F3"/>
    <w:rsid w:val="510B13F4"/>
    <w:rsid w:val="52310E93"/>
    <w:rsid w:val="527C2613"/>
    <w:rsid w:val="53397A0C"/>
    <w:rsid w:val="539A2E87"/>
    <w:rsid w:val="53E92AEF"/>
    <w:rsid w:val="54BB1E1B"/>
    <w:rsid w:val="553100D6"/>
    <w:rsid w:val="553E7B18"/>
    <w:rsid w:val="56AE0C92"/>
    <w:rsid w:val="57B32A9F"/>
    <w:rsid w:val="58925DB9"/>
    <w:rsid w:val="58D73C1D"/>
    <w:rsid w:val="5A982114"/>
    <w:rsid w:val="5AB9121B"/>
    <w:rsid w:val="5AEB2255"/>
    <w:rsid w:val="5AF00933"/>
    <w:rsid w:val="5B525C87"/>
    <w:rsid w:val="5B5317F3"/>
    <w:rsid w:val="5C2F1E8F"/>
    <w:rsid w:val="5D494803"/>
    <w:rsid w:val="5DDC7599"/>
    <w:rsid w:val="5F00399C"/>
    <w:rsid w:val="5F1832FB"/>
    <w:rsid w:val="5FF97134"/>
    <w:rsid w:val="5FFF5ED8"/>
    <w:rsid w:val="604F3196"/>
    <w:rsid w:val="60F25F36"/>
    <w:rsid w:val="624D58C1"/>
    <w:rsid w:val="64A55D99"/>
    <w:rsid w:val="64FA1908"/>
    <w:rsid w:val="65374138"/>
    <w:rsid w:val="65945F13"/>
    <w:rsid w:val="66C828BC"/>
    <w:rsid w:val="67026F67"/>
    <w:rsid w:val="673F3203"/>
    <w:rsid w:val="682C661B"/>
    <w:rsid w:val="69724A89"/>
    <w:rsid w:val="69B30239"/>
    <w:rsid w:val="69F06C95"/>
    <w:rsid w:val="6AF975B9"/>
    <w:rsid w:val="6C080198"/>
    <w:rsid w:val="6C1F6348"/>
    <w:rsid w:val="6C2E088C"/>
    <w:rsid w:val="6D0B1506"/>
    <w:rsid w:val="6DAA37B5"/>
    <w:rsid w:val="70C2647F"/>
    <w:rsid w:val="70CD7F27"/>
    <w:rsid w:val="71385799"/>
    <w:rsid w:val="741713C4"/>
    <w:rsid w:val="74EE5E20"/>
    <w:rsid w:val="751A4987"/>
    <w:rsid w:val="76483B47"/>
    <w:rsid w:val="76C66107"/>
    <w:rsid w:val="78847233"/>
    <w:rsid w:val="79444163"/>
    <w:rsid w:val="7A470084"/>
    <w:rsid w:val="7A5433BE"/>
    <w:rsid w:val="7A78685F"/>
    <w:rsid w:val="7A9E639B"/>
    <w:rsid w:val="7ADA7350"/>
    <w:rsid w:val="7B0B75EA"/>
    <w:rsid w:val="7B83361B"/>
    <w:rsid w:val="7BD61B65"/>
    <w:rsid w:val="7C974B11"/>
    <w:rsid w:val="7DAF403F"/>
    <w:rsid w:val="7DDF6930"/>
    <w:rsid w:val="7E0C25A3"/>
    <w:rsid w:val="7EAD77BC"/>
    <w:rsid w:val="7EE4674F"/>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4">
    <w:name w:val="heading 2"/>
    <w:basedOn w:val="1"/>
    <w:next w:val="5"/>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6">
    <w:name w:val="heading 3"/>
    <w:basedOn w:val="1"/>
    <w:next w:val="1"/>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7">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8">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10">
    <w:name w:val="heading 7"/>
    <w:basedOn w:val="1"/>
    <w:next w:val="5"/>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1">
    <w:name w:val="heading 8"/>
    <w:basedOn w:val="1"/>
    <w:next w:val="5"/>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2">
    <w:name w:val="heading 9"/>
    <w:basedOn w:val="1"/>
    <w:next w:val="5"/>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line="360" w:lineRule="auto"/>
    </w:pPr>
    <w:rPr>
      <w:rFonts w:ascii="仿宋_GB2312"/>
      <w:sz w:val="28"/>
    </w:rPr>
  </w:style>
  <w:style w:type="paragraph" w:styleId="5">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3">
    <w:name w:val="toc 7"/>
    <w:basedOn w:val="1"/>
    <w:next w:val="1"/>
    <w:qFormat/>
    <w:uiPriority w:val="0"/>
    <w:pPr>
      <w:ind w:left="2520" w:leftChars="1200"/>
    </w:pPr>
    <w:rPr>
      <w:rFonts w:ascii="Calibri" w:hAnsi="Calibri" w:eastAsia="宋体"/>
      <w:sz w:val="21"/>
      <w:szCs w:val="22"/>
    </w:rPr>
  </w:style>
  <w:style w:type="paragraph" w:styleId="14">
    <w:name w:val="caption"/>
    <w:basedOn w:val="1"/>
    <w:next w:val="1"/>
    <w:qFormat/>
    <w:uiPriority w:val="0"/>
    <w:rPr>
      <w:rFonts w:ascii="Arial" w:hAnsi="Arial" w:eastAsia="黑体" w:cs="Arial"/>
      <w:sz w:val="20"/>
    </w:rPr>
  </w:style>
  <w:style w:type="paragraph" w:styleId="15">
    <w:name w:val="Document Map"/>
    <w:basedOn w:val="1"/>
    <w:link w:val="74"/>
    <w:qFormat/>
    <w:uiPriority w:val="0"/>
    <w:pPr>
      <w:shd w:val="clear" w:color="auto" w:fill="000080"/>
    </w:pPr>
    <w:rPr>
      <w:kern w:val="0"/>
      <w:shd w:val="clear" w:color="auto" w:fill="000080"/>
    </w:rPr>
  </w:style>
  <w:style w:type="paragraph" w:styleId="16">
    <w:name w:val="annotation text"/>
    <w:basedOn w:val="1"/>
    <w:link w:val="81"/>
    <w:qFormat/>
    <w:uiPriority w:val="0"/>
    <w:pPr>
      <w:jc w:val="left"/>
    </w:pPr>
    <w:rPr>
      <w:rFonts w:eastAsia="宋体"/>
      <w:sz w:val="21"/>
      <w:szCs w:val="24"/>
    </w:rPr>
  </w:style>
  <w:style w:type="paragraph" w:styleId="17">
    <w:name w:val="Body Text 3"/>
    <w:basedOn w:val="1"/>
    <w:link w:val="86"/>
    <w:qFormat/>
    <w:uiPriority w:val="0"/>
    <w:pPr>
      <w:spacing w:after="120"/>
    </w:pPr>
    <w:rPr>
      <w:rFonts w:eastAsia="宋体"/>
      <w:sz w:val="16"/>
      <w:szCs w:val="16"/>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6"/>
    <w:next w:val="16"/>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3"/>
    <w:qFormat/>
    <w:uiPriority w:val="0"/>
    <w:rPr>
      <w:rFonts w:ascii="宋体" w:eastAsia="宋体"/>
      <w:b/>
      <w:kern w:val="44"/>
      <w:sz w:val="44"/>
      <w:lang w:val="en-US" w:eastAsia="zh-CN" w:bidi="ar-SA"/>
    </w:rPr>
  </w:style>
  <w:style w:type="character" w:customStyle="1" w:styleId="52">
    <w:name w:val="正文缩进 字符"/>
    <w:link w:val="5"/>
    <w:qFormat/>
    <w:uiPriority w:val="0"/>
    <w:rPr>
      <w:rFonts w:ascii="宋体" w:eastAsia="宋体"/>
      <w:sz w:val="34"/>
      <w:lang w:val="en-US" w:eastAsia="zh-CN" w:bidi="ar-SA"/>
    </w:rPr>
  </w:style>
  <w:style w:type="character" w:customStyle="1" w:styleId="53">
    <w:name w:val="标题 2 字符"/>
    <w:link w:val="4"/>
    <w:qFormat/>
    <w:uiPriority w:val="0"/>
    <w:rPr>
      <w:rFonts w:ascii="Arial" w:hAnsi="Arial" w:eastAsia="黑体"/>
      <w:b/>
      <w:sz w:val="32"/>
      <w:lang w:val="en-US" w:eastAsia="zh-CN" w:bidi="ar-SA"/>
    </w:rPr>
  </w:style>
  <w:style w:type="character" w:customStyle="1" w:styleId="54">
    <w:name w:val="标题 3 字符"/>
    <w:link w:val="6"/>
    <w:qFormat/>
    <w:uiPriority w:val="0"/>
    <w:rPr>
      <w:rFonts w:ascii="宋体" w:eastAsia="宋体"/>
      <w:b/>
      <w:sz w:val="32"/>
      <w:lang w:val="en-US" w:eastAsia="zh-CN" w:bidi="ar-SA"/>
    </w:rPr>
  </w:style>
  <w:style w:type="character" w:customStyle="1" w:styleId="55">
    <w:name w:val="标题 4 字符"/>
    <w:link w:val="7"/>
    <w:qFormat/>
    <w:uiPriority w:val="0"/>
    <w:rPr>
      <w:rFonts w:ascii="等线 Light" w:hAnsi="等线 Light" w:eastAsia="等线 Light" w:cs="Times New Roman"/>
      <w:b/>
      <w:bCs/>
      <w:kern w:val="2"/>
      <w:sz w:val="28"/>
      <w:szCs w:val="28"/>
    </w:rPr>
  </w:style>
  <w:style w:type="character" w:customStyle="1" w:styleId="56">
    <w:name w:val="标题 5 字符"/>
    <w:basedOn w:val="44"/>
    <w:link w:val="8"/>
    <w:qFormat/>
    <w:uiPriority w:val="0"/>
    <w:rPr>
      <w:rFonts w:eastAsia="仿宋_GB2312"/>
      <w:b/>
      <w:bCs/>
      <w:kern w:val="2"/>
      <w:sz w:val="28"/>
      <w:szCs w:val="28"/>
    </w:rPr>
  </w:style>
  <w:style w:type="character" w:customStyle="1" w:styleId="57">
    <w:name w:val="标题 6 字符"/>
    <w:link w:val="9"/>
    <w:qFormat/>
    <w:uiPriority w:val="0"/>
    <w:rPr>
      <w:rFonts w:ascii="Calibri Light" w:hAnsi="Calibri Light" w:eastAsia="宋体" w:cs="Times New Roman"/>
      <w:b/>
      <w:bCs/>
      <w:kern w:val="2"/>
      <w:sz w:val="24"/>
      <w:szCs w:val="24"/>
    </w:rPr>
  </w:style>
  <w:style w:type="character" w:customStyle="1" w:styleId="58">
    <w:name w:val="标题 7 字符"/>
    <w:link w:val="10"/>
    <w:qFormat/>
    <w:uiPriority w:val="0"/>
    <w:rPr>
      <w:rFonts w:ascii="宋体"/>
      <w:b/>
      <w:color w:val="000000"/>
      <w:kern w:val="2"/>
      <w:sz w:val="24"/>
      <w:szCs w:val="24"/>
    </w:rPr>
  </w:style>
  <w:style w:type="character" w:customStyle="1" w:styleId="59">
    <w:name w:val="标题 8 字符"/>
    <w:link w:val="11"/>
    <w:qFormat/>
    <w:uiPriority w:val="0"/>
    <w:rPr>
      <w:rFonts w:ascii="Arial" w:hAnsi="Arial" w:eastAsia="黑体"/>
      <w:color w:val="000000"/>
      <w:kern w:val="2"/>
      <w:sz w:val="24"/>
      <w:szCs w:val="24"/>
    </w:rPr>
  </w:style>
  <w:style w:type="character" w:customStyle="1" w:styleId="60">
    <w:name w:val="标题 9 字符"/>
    <w:link w:val="12"/>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2"/>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5"/>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6"/>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7"/>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4"/>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5"/>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4"/>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4"/>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6"/>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4"/>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3"/>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6"/>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3"/>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3"/>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paragraph" w:customStyle="1" w:styleId="22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30</Pages>
  <Words>627</Words>
  <Characters>732</Characters>
  <Lines>55</Lines>
  <Paragraphs>64</Paragraphs>
  <TotalTime>5</TotalTime>
  <ScaleCrop>false</ScaleCrop>
  <LinksUpToDate>false</LinksUpToDate>
  <CharactersWithSpaces>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2025-08-28T03:01:20Z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4C73735F14A54DD5B7EE5E5A0C41A492_13</vt:lpwstr>
  </property>
  <property fmtid="{D5CDD505-2E9C-101B-9397-08002B2CF9AE}" pid="4" name="KSOTemplateDocerSaveRecord">
    <vt:lpwstr>eyJoZGlkIjoiZDUxNWNjMTVhZmQ1NDYzNDYyZmQxZDczNGYxNmJkYmQiLCJ1c2VySWQiOiIyODQ4OTIwNjYifQ==</vt:lpwstr>
  </property>
</Properties>
</file>