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8D33D">
      <w:pPr>
        <w:jc w:val="center"/>
        <w:rPr>
          <w:rFonts w:hint="eastAsia" w:ascii="宋体" w:hAnsi="宋体" w:cs="宋体"/>
          <w:b/>
          <w:bCs w:val="0"/>
          <w:sz w:val="36"/>
          <w:szCs w:val="36"/>
          <w:lang w:val="en-US" w:eastAsia="zh-CN"/>
        </w:rPr>
      </w:pPr>
      <w:r>
        <w:rPr>
          <w:rFonts w:hint="eastAsia" w:ascii="宋体" w:hAnsi="宋体" w:cs="宋体"/>
          <w:b/>
          <w:bCs w:val="0"/>
          <w:sz w:val="36"/>
          <w:szCs w:val="36"/>
          <w:lang w:val="en-US" w:eastAsia="zh-CN"/>
        </w:rPr>
        <w:t>项目评审内容</w:t>
      </w:r>
    </w:p>
    <w:p w14:paraId="37946634">
      <w:pPr>
        <w:pStyle w:val="2"/>
        <w:tabs>
          <w:tab w:val="left" w:pos="945"/>
          <w:tab w:val="left" w:pos="1050"/>
        </w:tabs>
        <w:spacing w:line="480" w:lineRule="exact"/>
        <w:ind w:firstLine="480" w:firstLineChars="200"/>
        <w:rPr>
          <w:rFonts w:hint="eastAsia" w:hAnsi="宋体"/>
          <w:b/>
          <w:color w:val="auto"/>
          <w:sz w:val="24"/>
        </w:rPr>
      </w:pPr>
      <w:r>
        <w:rPr>
          <w:rFonts w:hint="eastAsia" w:hAnsi="宋体"/>
          <w:color w:val="auto"/>
          <w:sz w:val="24"/>
        </w:rPr>
        <w:t>本项目采用综合评分法，即满足</w:t>
      </w:r>
      <w:r>
        <w:rPr>
          <w:rFonts w:hint="eastAsia" w:hAnsi="宋体"/>
          <w:color w:val="auto"/>
          <w:sz w:val="24"/>
          <w:lang w:val="en-US" w:eastAsia="zh-CN"/>
        </w:rPr>
        <w:t>遴选</w:t>
      </w:r>
      <w:r>
        <w:rPr>
          <w:rFonts w:hint="eastAsia" w:hAnsi="宋体"/>
          <w:color w:val="auto"/>
          <w:sz w:val="24"/>
        </w:rPr>
        <w:t>文件全部实质性要求的响应人才能进入评比阶段，对未能通过资格审查和符合性审查的响应文件作无效响应处理，且按照评审因素的量化指标评审得分最高的响应人为成交候选供应商的评审方法。</w:t>
      </w:r>
      <w:r>
        <w:rPr>
          <w:rFonts w:hint="eastAsia" w:hAnsi="宋体"/>
          <w:b/>
          <w:bCs/>
          <w:color w:val="auto"/>
          <w:sz w:val="24"/>
          <w:lang w:val="en-US" w:eastAsia="zh-CN"/>
        </w:rPr>
        <w:t>评审</w:t>
      </w:r>
      <w:r>
        <w:rPr>
          <w:rFonts w:hint="eastAsia" w:hAnsi="宋体"/>
          <w:b/>
          <w:bCs/>
          <w:color w:val="auto"/>
          <w:sz w:val="24"/>
        </w:rPr>
        <w:t>小组对</w:t>
      </w:r>
      <w:r>
        <w:rPr>
          <w:rFonts w:hint="eastAsia" w:hAnsi="宋体"/>
          <w:b/>
          <w:bCs/>
          <w:color w:val="auto"/>
          <w:sz w:val="24"/>
          <w:lang w:val="en-US" w:eastAsia="zh-CN"/>
        </w:rPr>
        <w:t>提交有效报价</w:t>
      </w:r>
      <w:r>
        <w:rPr>
          <w:rFonts w:hint="eastAsia" w:hAnsi="宋体"/>
          <w:b/>
          <w:bCs/>
          <w:color w:val="auto"/>
          <w:sz w:val="24"/>
        </w:rPr>
        <w:t>的供应商的响应文件和报价进行综合评分。</w:t>
      </w:r>
      <w:r>
        <w:rPr>
          <w:rFonts w:hint="eastAsia" w:hAnsi="宋体"/>
          <w:color w:val="auto"/>
          <w:sz w:val="24"/>
        </w:rPr>
        <w:t>评审以</w:t>
      </w:r>
      <w:r>
        <w:rPr>
          <w:rFonts w:hint="eastAsia" w:hAnsi="宋体"/>
          <w:color w:val="auto"/>
          <w:sz w:val="24"/>
          <w:lang w:val="en-US" w:eastAsia="zh-CN"/>
        </w:rPr>
        <w:t>遴选</w:t>
      </w:r>
      <w:r>
        <w:rPr>
          <w:rFonts w:hint="eastAsia" w:hAnsi="宋体"/>
          <w:color w:val="auto"/>
          <w:sz w:val="24"/>
        </w:rPr>
        <w:t>文件规定的条件为原则，最低报价不作为成交的唯一依据</w:t>
      </w:r>
      <w:r>
        <w:rPr>
          <w:rFonts w:hint="eastAsia" w:hAnsi="宋体"/>
          <w:b/>
          <w:color w:val="auto"/>
          <w:sz w:val="24"/>
        </w:rPr>
        <w:t>。</w:t>
      </w:r>
    </w:p>
    <w:p w14:paraId="74070CC1">
      <w:pPr>
        <w:pStyle w:val="2"/>
        <w:numPr>
          <w:ilvl w:val="0"/>
          <w:numId w:val="0"/>
        </w:numPr>
        <w:tabs>
          <w:tab w:val="left" w:pos="945"/>
          <w:tab w:val="left" w:pos="1050"/>
        </w:tabs>
        <w:spacing w:line="480" w:lineRule="exact"/>
        <w:ind w:firstLine="241" w:firstLineChars="100"/>
        <w:rPr>
          <w:rFonts w:hint="eastAsia" w:hAnsi="宋体"/>
          <w:b/>
          <w:color w:val="auto"/>
          <w:sz w:val="24"/>
          <w:szCs w:val="24"/>
        </w:rPr>
      </w:pPr>
      <w:r>
        <w:rPr>
          <w:rFonts w:hint="eastAsia" w:hAnsi="宋体"/>
          <w:b/>
          <w:color w:val="auto"/>
          <w:sz w:val="24"/>
          <w:szCs w:val="24"/>
          <w:lang w:val="en-US" w:eastAsia="zh-CN"/>
        </w:rPr>
        <w:t>一、</w:t>
      </w:r>
      <w:r>
        <w:rPr>
          <w:rFonts w:hint="eastAsia" w:hAnsi="宋体"/>
          <w:b/>
          <w:color w:val="auto"/>
          <w:sz w:val="24"/>
          <w:szCs w:val="24"/>
        </w:rPr>
        <w:t>资格审查表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00"/>
      </w:tblGrid>
      <w:tr w14:paraId="26FB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noWrap w:val="0"/>
            <w:vAlign w:val="center"/>
          </w:tcPr>
          <w:p w14:paraId="18F9BC32">
            <w:pPr>
              <w:pStyle w:val="2"/>
              <w:spacing w:line="480" w:lineRule="exact"/>
              <w:jc w:val="center"/>
              <w:rPr>
                <w:rFonts w:hAnsi="宋体"/>
                <w:color w:val="auto"/>
                <w:sz w:val="24"/>
                <w:szCs w:val="24"/>
              </w:rPr>
            </w:pPr>
            <w:r>
              <w:rPr>
                <w:rFonts w:hint="eastAsia" w:hAnsi="宋体"/>
                <w:color w:val="auto"/>
                <w:sz w:val="24"/>
                <w:szCs w:val="24"/>
              </w:rPr>
              <w:t>审查项目</w:t>
            </w:r>
          </w:p>
        </w:tc>
        <w:tc>
          <w:tcPr>
            <w:tcW w:w="8207" w:type="dxa"/>
            <w:noWrap w:val="0"/>
            <w:vAlign w:val="center"/>
          </w:tcPr>
          <w:p w14:paraId="781DB522">
            <w:pPr>
              <w:pStyle w:val="2"/>
              <w:spacing w:line="480" w:lineRule="exact"/>
              <w:jc w:val="center"/>
              <w:rPr>
                <w:rFonts w:hAnsi="宋体"/>
                <w:color w:val="auto"/>
                <w:sz w:val="24"/>
                <w:szCs w:val="24"/>
              </w:rPr>
            </w:pPr>
            <w:r>
              <w:rPr>
                <w:rFonts w:hint="eastAsia" w:hAnsi="宋体"/>
                <w:color w:val="auto"/>
                <w:sz w:val="24"/>
                <w:szCs w:val="24"/>
              </w:rPr>
              <w:t>审查内容</w:t>
            </w:r>
          </w:p>
        </w:tc>
      </w:tr>
      <w:tr w14:paraId="7675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noWrap w:val="0"/>
            <w:vAlign w:val="center"/>
          </w:tcPr>
          <w:p w14:paraId="1AE121F1">
            <w:pPr>
              <w:pStyle w:val="2"/>
              <w:spacing w:line="480" w:lineRule="exact"/>
              <w:jc w:val="center"/>
              <w:rPr>
                <w:rFonts w:hAnsi="宋体"/>
                <w:color w:val="auto"/>
                <w:sz w:val="24"/>
                <w:szCs w:val="24"/>
              </w:rPr>
            </w:pPr>
            <w:r>
              <w:rPr>
                <w:rFonts w:hint="eastAsia" w:hAnsi="宋体"/>
                <w:color w:val="auto"/>
                <w:sz w:val="24"/>
                <w:szCs w:val="24"/>
              </w:rPr>
              <w:t>资格审查</w:t>
            </w:r>
          </w:p>
        </w:tc>
        <w:tc>
          <w:tcPr>
            <w:tcW w:w="8207" w:type="dxa"/>
            <w:noWrap w:val="0"/>
            <w:vAlign w:val="center"/>
          </w:tcPr>
          <w:p w14:paraId="571BBADE">
            <w:pPr>
              <w:pStyle w:val="2"/>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4"/>
              </w:rPr>
              <w:t>满足《中华人民共和国政府采购法》第二十二条规定</w:t>
            </w:r>
            <w:r>
              <w:rPr>
                <w:rFonts w:hint="eastAsia" w:hAnsi="宋体" w:cs="宋体"/>
                <w:color w:val="auto"/>
                <w:sz w:val="24"/>
                <w:szCs w:val="21"/>
              </w:rPr>
              <w:t>；</w:t>
            </w:r>
          </w:p>
          <w:p w14:paraId="0B7FCF44">
            <w:pPr>
              <w:pStyle w:val="2"/>
              <w:spacing w:line="480" w:lineRule="exact"/>
              <w:rPr>
                <w:rFonts w:hint="eastAsia" w:hAnsi="宋体" w:cs="宋体"/>
                <w:color w:val="auto"/>
                <w:sz w:val="24"/>
                <w:szCs w:val="21"/>
                <w:highlight w:val="none"/>
              </w:rPr>
            </w:pPr>
            <w:r>
              <w:rPr>
                <w:rFonts w:hint="eastAsia" w:hAnsi="宋体" w:cs="宋体"/>
                <w:color w:val="auto"/>
                <w:sz w:val="24"/>
                <w:szCs w:val="21"/>
                <w:highlight w:val="none"/>
              </w:rPr>
              <w:t>2、落实政府采购政策需满足的资格要求：本项目专门面向中小企业采购，参与的响应人提供的服务全部由符合政策要求的中小企业承接（监狱企业、残疾人福利性单位视同小型、微型企业）；（提供《中小企业声明函》；若响应人为监狱企业、残疾人福利性单位的，则提供《残疾人福利性单位声明函》或省级以上监狱管理局、戒毒管理局（含新疆生产建设兵团）出具的《属于监狱企业的证明文件》复印件）。</w:t>
            </w:r>
          </w:p>
          <w:p w14:paraId="4A64877E">
            <w:pPr>
              <w:pStyle w:val="2"/>
              <w:spacing w:line="480" w:lineRule="exact"/>
              <w:rPr>
                <w:rFonts w:hint="eastAsia" w:hAnsi="宋体" w:cs="宋体"/>
                <w:color w:val="auto"/>
                <w:sz w:val="24"/>
                <w:szCs w:val="22"/>
              </w:rPr>
            </w:pPr>
            <w:r>
              <w:rPr>
                <w:rFonts w:hint="eastAsia" w:hAnsi="宋体" w:cs="宋体"/>
                <w:color w:val="auto"/>
                <w:sz w:val="24"/>
                <w:szCs w:val="22"/>
              </w:rPr>
              <w:t>3、本项目的特定资格要求：</w:t>
            </w:r>
          </w:p>
          <w:p w14:paraId="4025F46C">
            <w:pPr>
              <w:pStyle w:val="2"/>
              <w:spacing w:line="480" w:lineRule="exact"/>
              <w:rPr>
                <w:rFonts w:hint="eastAsia" w:hAnsi="宋体" w:cs="宋体"/>
                <w:color w:val="auto"/>
                <w:sz w:val="24"/>
                <w:szCs w:val="21"/>
              </w:rPr>
            </w:pPr>
            <w:r>
              <w:rPr>
                <w:rFonts w:hint="eastAsia" w:hAnsi="宋体" w:cs="宋体"/>
                <w:color w:val="auto"/>
                <w:sz w:val="24"/>
                <w:szCs w:val="21"/>
              </w:rPr>
              <w:t>（1）</w:t>
            </w:r>
            <w:r>
              <w:rPr>
                <w:rFonts w:hint="eastAsia" w:hAnsi="宋体" w:cs="宋体"/>
                <w:color w:val="auto"/>
                <w:sz w:val="24"/>
                <w:szCs w:val="22"/>
              </w:rPr>
              <w:t>响应人应当</w:t>
            </w:r>
            <w:r>
              <w:rPr>
                <w:rFonts w:hint="eastAsia" w:hAnsi="宋体" w:cs="宋体"/>
                <w:color w:val="auto"/>
                <w:sz w:val="24"/>
                <w:szCs w:val="24"/>
              </w:rPr>
              <w:t>具备《中华人民共和国政府采购法》第二十二条规定的条件；</w:t>
            </w:r>
          </w:p>
          <w:p w14:paraId="4D1DC75C">
            <w:pPr>
              <w:pStyle w:val="2"/>
              <w:spacing w:line="480" w:lineRule="exact"/>
              <w:rPr>
                <w:rFonts w:hint="eastAsia" w:hAnsi="宋体" w:cs="宋体"/>
                <w:color w:val="auto"/>
                <w:sz w:val="24"/>
                <w:szCs w:val="21"/>
              </w:rPr>
            </w:pPr>
            <w:r>
              <w:rPr>
                <w:rFonts w:hint="eastAsia" w:hAnsi="宋体" w:cs="宋体"/>
                <w:color w:val="auto"/>
                <w:sz w:val="24"/>
                <w:szCs w:val="21"/>
              </w:rPr>
              <w:t>1）响应人应当是具有独立承担民事责任能力的</w:t>
            </w:r>
            <w:r>
              <w:rPr>
                <w:rFonts w:hint="eastAsia" w:hAnsi="宋体" w:cs="宋体"/>
                <w:color w:val="auto"/>
                <w:kern w:val="0"/>
                <w:sz w:val="24"/>
                <w:szCs w:val="24"/>
              </w:rPr>
              <w:t>在中华人民共和国境内注册的</w:t>
            </w:r>
            <w:r>
              <w:rPr>
                <w:rFonts w:hint="eastAsia" w:hAnsi="宋体" w:cs="宋体"/>
                <w:color w:val="auto"/>
                <w:sz w:val="24"/>
                <w:szCs w:val="21"/>
              </w:rPr>
              <w:t>法人、其他组织或者自然人；（提供有效的</w:t>
            </w:r>
            <w:r>
              <w:rPr>
                <w:rFonts w:hint="eastAsia" w:hAnsi="宋体" w:cs="宋体"/>
                <w:color w:val="auto"/>
                <w:sz w:val="24"/>
              </w:rPr>
              <w:t>营业执照</w:t>
            </w:r>
            <w:r>
              <w:rPr>
                <w:rFonts w:hint="eastAsia" w:hAnsi="宋体" w:cs="宋体"/>
                <w:color w:val="auto"/>
                <w:sz w:val="24"/>
                <w:szCs w:val="21"/>
              </w:rPr>
              <w:t>或相关单位登记证书复印件</w:t>
            </w:r>
            <w:r>
              <w:rPr>
                <w:rFonts w:hint="eastAsia" w:hAnsi="宋体" w:cs="宋体"/>
                <w:color w:val="auto"/>
                <w:sz w:val="24"/>
              </w:rPr>
              <w:t>（</w:t>
            </w:r>
            <w:r>
              <w:rPr>
                <w:rFonts w:hint="eastAsia" w:hAnsi="宋体" w:cs="宋体"/>
                <w:bCs/>
                <w:color w:val="auto"/>
                <w:sz w:val="24"/>
              </w:rPr>
              <w:t>若法人或者其他组织响应的</w:t>
            </w:r>
            <w:r>
              <w:rPr>
                <w:rFonts w:hint="eastAsia" w:hAnsi="宋体" w:cs="宋体"/>
                <w:color w:val="auto"/>
                <w:sz w:val="24"/>
              </w:rPr>
              <w:t>），</w:t>
            </w:r>
            <w:r>
              <w:rPr>
                <w:rFonts w:hint="eastAsia" w:hAnsi="宋体" w:cs="宋体"/>
                <w:color w:val="auto"/>
                <w:sz w:val="24"/>
                <w:szCs w:val="21"/>
              </w:rPr>
              <w:t>自然人有效的身份证明复印件</w:t>
            </w:r>
            <w:r>
              <w:rPr>
                <w:rFonts w:hint="eastAsia" w:hAnsi="宋体" w:cs="宋体"/>
                <w:color w:val="auto"/>
                <w:sz w:val="24"/>
              </w:rPr>
              <w:t>（</w:t>
            </w:r>
            <w:r>
              <w:rPr>
                <w:rFonts w:hint="eastAsia" w:hAnsi="宋体" w:cs="宋体"/>
                <w:bCs/>
                <w:color w:val="auto"/>
                <w:sz w:val="24"/>
              </w:rPr>
              <w:t>若</w:t>
            </w:r>
            <w:r>
              <w:rPr>
                <w:rFonts w:hint="eastAsia" w:hAnsi="宋体" w:cs="宋体"/>
                <w:color w:val="auto"/>
                <w:sz w:val="24"/>
                <w:szCs w:val="21"/>
              </w:rPr>
              <w:t>自然人</w:t>
            </w:r>
            <w:r>
              <w:rPr>
                <w:rFonts w:hint="eastAsia" w:hAnsi="宋体" w:cs="宋体"/>
                <w:bCs/>
                <w:color w:val="auto"/>
                <w:sz w:val="24"/>
              </w:rPr>
              <w:t>响应的</w:t>
            </w:r>
            <w:r>
              <w:rPr>
                <w:rFonts w:hint="eastAsia" w:hAnsi="宋体" w:cs="宋体"/>
                <w:color w:val="auto"/>
                <w:sz w:val="24"/>
              </w:rPr>
              <w:t>）。</w:t>
            </w:r>
            <w:r>
              <w:rPr>
                <w:rFonts w:hint="eastAsia" w:hAnsi="宋体" w:cs="宋体"/>
                <w:bCs/>
                <w:color w:val="auto"/>
                <w:sz w:val="24"/>
              </w:rPr>
              <w:t>若分支机构响应的，</w:t>
            </w:r>
            <w:r>
              <w:rPr>
                <w:rFonts w:hint="eastAsia" w:hAnsi="宋体" w:cs="宋体"/>
                <w:color w:val="auto"/>
                <w:sz w:val="24"/>
              </w:rPr>
              <w:t>应当</w:t>
            </w:r>
            <w:r>
              <w:rPr>
                <w:rFonts w:hint="eastAsia" w:hAnsi="宋体" w:cs="宋体"/>
                <w:bCs/>
                <w:color w:val="auto"/>
                <w:sz w:val="24"/>
              </w:rPr>
              <w:t>取得总公司（总所）出具给分支机构的有效授权，并同时提供总公司（总所）的营业执照、总公司（总所）出具给分支机构的有效授权书及分支机构的营业执照复印件</w:t>
            </w:r>
            <w:r>
              <w:rPr>
                <w:rFonts w:hint="eastAsia" w:hAnsi="宋体" w:cs="宋体"/>
                <w:color w:val="auto"/>
                <w:sz w:val="24"/>
                <w:szCs w:val="21"/>
              </w:rPr>
              <w:t>）</w:t>
            </w:r>
          </w:p>
          <w:p w14:paraId="5F7502F2">
            <w:pPr>
              <w:pStyle w:val="2"/>
              <w:spacing w:line="480" w:lineRule="exact"/>
              <w:rPr>
                <w:rFonts w:hint="eastAsia" w:hAnsi="宋体" w:cs="宋体"/>
                <w:sz w:val="24"/>
              </w:rPr>
            </w:pPr>
            <w:r>
              <w:rPr>
                <w:rFonts w:hint="eastAsia" w:hAnsi="宋体" w:cs="宋体"/>
                <w:sz w:val="24"/>
                <w:szCs w:val="21"/>
              </w:rPr>
              <w:t>2）响应人应当具有良好的商业信誉和健全的财务会计制度；（提供2023年度财务状况报告或2024年1月至今任意1个月的财务报表或银行出具的资信证明复印件）</w:t>
            </w:r>
          </w:p>
          <w:p w14:paraId="205D2A12">
            <w:pPr>
              <w:pStyle w:val="2"/>
              <w:spacing w:line="480" w:lineRule="exact"/>
              <w:rPr>
                <w:rFonts w:hint="eastAsia" w:hAnsi="宋体" w:cs="宋体"/>
                <w:sz w:val="24"/>
                <w:szCs w:val="21"/>
              </w:rPr>
            </w:pPr>
            <w:r>
              <w:rPr>
                <w:rFonts w:hint="eastAsia" w:hAnsi="宋体" w:cs="宋体"/>
                <w:sz w:val="24"/>
                <w:szCs w:val="21"/>
              </w:rPr>
              <w:t>3）响应人应当具有履行合同所必需的</w:t>
            </w:r>
            <w:r>
              <w:rPr>
                <w:rFonts w:hint="eastAsia" w:hAnsi="宋体" w:cs="宋体"/>
                <w:sz w:val="24"/>
                <w:szCs w:val="21"/>
                <w:lang w:eastAsia="zh-CN"/>
              </w:rPr>
              <w:t>货物</w:t>
            </w:r>
            <w:r>
              <w:rPr>
                <w:rFonts w:hint="eastAsia" w:hAnsi="宋体" w:cs="宋体"/>
                <w:sz w:val="24"/>
                <w:szCs w:val="21"/>
              </w:rPr>
              <w:t>和专业技术能力；（提供《关于资格的声明函》）</w:t>
            </w:r>
          </w:p>
          <w:p w14:paraId="23FDBE0C">
            <w:pPr>
              <w:pStyle w:val="2"/>
              <w:spacing w:line="480" w:lineRule="exact"/>
              <w:rPr>
                <w:rFonts w:hint="eastAsia" w:hAnsi="宋体" w:cs="宋体"/>
                <w:sz w:val="24"/>
                <w:szCs w:val="21"/>
              </w:rPr>
            </w:pPr>
            <w:r>
              <w:rPr>
                <w:rFonts w:hint="eastAsia" w:hAnsi="宋体" w:cs="宋体"/>
                <w:sz w:val="24"/>
                <w:szCs w:val="21"/>
              </w:rPr>
              <w:t>4）响应人应当有依法缴纳税收和社会保障资金的良好记录；（提供2024年1月至今任意1个月的依法缴纳税收和社会保障资金的相关材料复印件；如依法免税或不需要缴纳社会保障资金的，应当提供相应证明文件复印件）</w:t>
            </w:r>
          </w:p>
          <w:p w14:paraId="141FC854">
            <w:pPr>
              <w:pStyle w:val="2"/>
              <w:spacing w:line="480" w:lineRule="exact"/>
              <w:rPr>
                <w:rFonts w:hint="eastAsia" w:hAnsi="宋体" w:cs="宋体"/>
                <w:color w:val="auto"/>
                <w:sz w:val="24"/>
                <w:szCs w:val="21"/>
              </w:rPr>
            </w:pPr>
            <w:r>
              <w:rPr>
                <w:rFonts w:hint="eastAsia" w:hAnsi="宋体" w:cs="宋体"/>
                <w:color w:val="auto"/>
                <w:sz w:val="24"/>
                <w:szCs w:val="21"/>
              </w:rPr>
              <w:t>5）响应人参加招标采购活动前三年内，在经营活动中没有重大违法记录；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提供《关于资格的声明函》）</w:t>
            </w:r>
          </w:p>
          <w:p w14:paraId="697CF50B">
            <w:pPr>
              <w:pStyle w:val="2"/>
              <w:spacing w:line="480" w:lineRule="exact"/>
              <w:rPr>
                <w:rFonts w:hint="eastAsia" w:hAnsi="宋体" w:cs="宋体"/>
                <w:color w:val="auto"/>
                <w:sz w:val="24"/>
                <w:szCs w:val="24"/>
                <w:shd w:val="clear" w:color="auto" w:fill="FFFFFF"/>
              </w:rPr>
            </w:pPr>
            <w:r>
              <w:rPr>
                <w:rFonts w:hint="eastAsia" w:hAnsi="宋体" w:cs="宋体"/>
                <w:color w:val="auto"/>
                <w:sz w:val="24"/>
                <w:szCs w:val="21"/>
              </w:rPr>
              <w:t>6）响应人应当符合法律、行政法规规定的其他条件。（提供《关于资格的声明函》）</w:t>
            </w:r>
          </w:p>
          <w:p w14:paraId="661C979F">
            <w:pPr>
              <w:pStyle w:val="2"/>
              <w:spacing w:line="480" w:lineRule="exact"/>
              <w:rPr>
                <w:rFonts w:hint="eastAsia" w:hAnsi="宋体" w:cs="宋体"/>
                <w:color w:val="auto"/>
                <w:sz w:val="24"/>
                <w:szCs w:val="22"/>
              </w:rPr>
            </w:pPr>
            <w:r>
              <w:rPr>
                <w:rFonts w:hint="eastAsia" w:hAnsi="宋体" w:cs="宋体"/>
                <w:color w:val="auto"/>
                <w:sz w:val="24"/>
                <w:szCs w:val="22"/>
              </w:rPr>
              <w:t>（2）</w:t>
            </w:r>
            <w:r>
              <w:rPr>
                <w:rFonts w:hint="eastAsia" w:hAnsi="宋体" w:cs="宋体"/>
                <w:color w:val="auto"/>
                <w:sz w:val="24"/>
                <w:szCs w:val="21"/>
              </w:rPr>
              <w:t>响应人</w:t>
            </w:r>
            <w:r>
              <w:rPr>
                <w:rFonts w:hint="eastAsia" w:hAnsi="宋体" w:cs="宋体"/>
                <w:color w:val="auto"/>
                <w:sz w:val="24"/>
                <w:szCs w:val="2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hint="eastAsia" w:hAnsi="宋体"/>
                <w:color w:val="auto"/>
                <w:sz w:val="24"/>
              </w:rPr>
              <w:t>开启响应文件当日采购</w:t>
            </w:r>
            <w:r>
              <w:rPr>
                <w:rFonts w:hint="eastAsia" w:hAnsi="宋体"/>
                <w:color w:val="auto"/>
                <w:sz w:val="24"/>
                <w:lang w:val="en-US" w:eastAsia="zh-CN"/>
              </w:rPr>
              <w:t>人</w:t>
            </w:r>
            <w:r>
              <w:rPr>
                <w:rFonts w:hAnsi="宋体"/>
                <w:bCs/>
                <w:color w:val="auto"/>
                <w:sz w:val="24"/>
              </w:rPr>
              <w:t>通过“信用中国”网站（www.creditchina.gov.cn）、中国政府采购网（www.ccgp.gov.cn）查询</w:t>
            </w:r>
            <w:r>
              <w:rPr>
                <w:rFonts w:hint="eastAsia" w:hAnsi="宋体"/>
                <w:bCs/>
                <w:color w:val="auto"/>
                <w:sz w:val="24"/>
              </w:rPr>
              <w:t>响应人信用记录为准，如相关失信记录已失效，</w:t>
            </w:r>
            <w:r>
              <w:rPr>
                <w:rFonts w:hint="eastAsia" w:hAnsi="宋体" w:cs="宋体"/>
                <w:color w:val="auto"/>
                <w:sz w:val="24"/>
                <w:szCs w:val="21"/>
              </w:rPr>
              <w:t>应当提供相应证明文件复印件</w:t>
            </w:r>
            <w:r>
              <w:rPr>
                <w:rFonts w:hint="eastAsia" w:hAnsi="宋体" w:cs="宋体"/>
                <w:color w:val="auto"/>
                <w:sz w:val="24"/>
                <w:szCs w:val="22"/>
              </w:rPr>
              <w:t>）</w:t>
            </w:r>
          </w:p>
          <w:p w14:paraId="4B373C19">
            <w:pPr>
              <w:pStyle w:val="2"/>
              <w:spacing w:line="480" w:lineRule="exact"/>
              <w:rPr>
                <w:rFonts w:hint="eastAsia" w:hAnsi="宋体" w:cs="宋体"/>
                <w:color w:val="auto"/>
                <w:sz w:val="24"/>
              </w:rPr>
            </w:pPr>
            <w:r>
              <w:rPr>
                <w:rFonts w:hint="eastAsia" w:hAnsi="宋体" w:cs="宋体"/>
                <w:color w:val="auto"/>
                <w:sz w:val="24"/>
              </w:rPr>
              <w:t>（3）单位负责人为同一人或者存在直接控股、管理关系的不同供应商，不得参加同一合同包项下的招标采购活动；</w:t>
            </w:r>
            <w:r>
              <w:rPr>
                <w:rFonts w:hint="eastAsia" w:hAnsi="宋体" w:cs="宋体"/>
                <w:color w:val="auto"/>
                <w:sz w:val="24"/>
                <w:szCs w:val="21"/>
              </w:rPr>
              <w:t>（提供《关于资格的声明函》）</w:t>
            </w:r>
          </w:p>
          <w:p w14:paraId="79DA116A">
            <w:pPr>
              <w:pStyle w:val="2"/>
              <w:spacing w:line="480" w:lineRule="exact"/>
              <w:rPr>
                <w:rFonts w:hint="eastAsia" w:hAnsi="宋体" w:cs="宋体"/>
                <w:color w:val="auto"/>
                <w:sz w:val="24"/>
                <w:szCs w:val="21"/>
              </w:rPr>
            </w:pPr>
            <w:r>
              <w:rPr>
                <w:rFonts w:hint="eastAsia" w:hAnsi="宋体" w:cs="宋体"/>
                <w:color w:val="auto"/>
                <w:sz w:val="24"/>
              </w:rPr>
              <w:t>（4）</w:t>
            </w:r>
            <w:r>
              <w:rPr>
                <w:rFonts w:hint="eastAsia" w:hAnsi="宋体" w:cs="宋体"/>
                <w:color w:val="auto"/>
                <w:sz w:val="24"/>
                <w:szCs w:val="24"/>
              </w:rPr>
              <w:t>为本项目提供整体设计、规范编制或者项目管理、监理、检测等服务的供应商，不得再参加该采购项目的其他采购活动</w:t>
            </w:r>
            <w:r>
              <w:rPr>
                <w:rFonts w:hint="eastAsia" w:hAnsi="宋体" w:cs="宋体"/>
                <w:color w:val="auto"/>
                <w:sz w:val="24"/>
              </w:rPr>
              <w:t>；</w:t>
            </w:r>
            <w:r>
              <w:rPr>
                <w:rFonts w:hint="eastAsia" w:hAnsi="宋体" w:cs="宋体"/>
                <w:color w:val="auto"/>
                <w:sz w:val="24"/>
                <w:szCs w:val="21"/>
              </w:rPr>
              <w:t>（提供《关于资格的声明函》）</w:t>
            </w:r>
          </w:p>
          <w:p w14:paraId="532E137B">
            <w:pPr>
              <w:pStyle w:val="2"/>
              <w:spacing w:line="480" w:lineRule="exact"/>
              <w:rPr>
                <w:rFonts w:hAnsi="宋体" w:cs="宋体"/>
                <w:color w:val="auto"/>
                <w:sz w:val="24"/>
                <w:szCs w:val="21"/>
              </w:rPr>
            </w:pPr>
            <w:r>
              <w:rPr>
                <w:rFonts w:hint="eastAsia" w:ascii="宋体" w:hAnsi="宋体" w:eastAsia="宋体" w:cs="宋体"/>
                <w:color w:val="auto"/>
                <w:sz w:val="24"/>
              </w:rPr>
              <w:t>（5）本合同包不接受联合体响应</w:t>
            </w:r>
            <w:r>
              <w:rPr>
                <w:rFonts w:hint="eastAsia" w:ascii="宋体" w:hAnsi="宋体" w:eastAsia="宋体" w:cs="宋体"/>
                <w:color w:val="auto"/>
                <w:sz w:val="24"/>
                <w:szCs w:val="21"/>
              </w:rPr>
              <w:t>。（提供《关于资格的声明函》）</w:t>
            </w:r>
          </w:p>
        </w:tc>
      </w:tr>
      <w:tr w14:paraId="6FA8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noWrap w:val="0"/>
            <w:vAlign w:val="center"/>
          </w:tcPr>
          <w:p w14:paraId="751C0B63">
            <w:pPr>
              <w:pStyle w:val="2"/>
              <w:spacing w:line="480" w:lineRule="exact"/>
              <w:jc w:val="center"/>
              <w:rPr>
                <w:rFonts w:hint="eastAsia" w:hAnsi="宋体"/>
                <w:color w:val="auto"/>
                <w:sz w:val="24"/>
                <w:szCs w:val="24"/>
              </w:rPr>
            </w:pPr>
            <w:r>
              <w:rPr>
                <w:rFonts w:hint="eastAsia" w:hAnsi="宋体"/>
                <w:color w:val="auto"/>
                <w:sz w:val="24"/>
                <w:szCs w:val="24"/>
              </w:rPr>
              <w:t>资格审查</w:t>
            </w:r>
          </w:p>
        </w:tc>
        <w:tc>
          <w:tcPr>
            <w:tcW w:w="8207" w:type="dxa"/>
            <w:noWrap w:val="0"/>
            <w:vAlign w:val="center"/>
          </w:tcPr>
          <w:p w14:paraId="11D6E04C">
            <w:pPr>
              <w:spacing w:line="480" w:lineRule="exact"/>
              <w:rPr>
                <w:rFonts w:hint="eastAsia" w:hAnsi="宋体"/>
                <w:color w:val="auto"/>
                <w:sz w:val="24"/>
                <w:szCs w:val="24"/>
              </w:rPr>
            </w:pPr>
          </w:p>
        </w:tc>
      </w:tr>
    </w:tbl>
    <w:p w14:paraId="43B5F58D">
      <w:pPr>
        <w:rPr>
          <w:rFonts w:hint="default" w:ascii="宋体" w:hAnsi="宋体" w:cs="宋体"/>
          <w:b/>
          <w:bCs w:val="0"/>
          <w:sz w:val="24"/>
          <w:lang w:val="en-US" w:eastAsia="zh-CN"/>
        </w:rPr>
      </w:pPr>
    </w:p>
    <w:p w14:paraId="22C6585A">
      <w:pPr>
        <w:pStyle w:val="2"/>
        <w:keepNext w:val="0"/>
        <w:keepLines w:val="0"/>
        <w:pageBreakBefore w:val="0"/>
        <w:widowControl w:val="0"/>
        <w:numPr>
          <w:ilvl w:val="0"/>
          <w:numId w:val="0"/>
        </w:numPr>
        <w:tabs>
          <w:tab w:val="left" w:pos="945"/>
          <w:tab w:val="left" w:pos="1050"/>
        </w:tabs>
        <w:kinsoku/>
        <w:wordWrap/>
        <w:overflowPunct/>
        <w:topLinePunct w:val="0"/>
        <w:autoSpaceDE/>
        <w:autoSpaceDN/>
        <w:bidi w:val="0"/>
        <w:adjustRightInd/>
        <w:snapToGrid/>
        <w:spacing w:line="480" w:lineRule="exact"/>
        <w:ind w:firstLine="482" w:firstLineChars="200"/>
        <w:textAlignment w:val="auto"/>
        <w:rPr>
          <w:rFonts w:hAnsi="宋体"/>
          <w:color w:val="auto"/>
          <w:sz w:val="24"/>
          <w:szCs w:val="24"/>
        </w:rPr>
      </w:pPr>
      <w:r>
        <w:rPr>
          <w:rFonts w:hint="eastAsia" w:hAnsi="宋体"/>
          <w:b/>
          <w:color w:val="auto"/>
          <w:sz w:val="24"/>
          <w:szCs w:val="24"/>
          <w:lang w:val="en-US" w:eastAsia="zh-CN"/>
        </w:rPr>
        <w:t>二、</w:t>
      </w:r>
      <w:r>
        <w:rPr>
          <w:rFonts w:hint="eastAsia" w:hAnsi="宋体"/>
          <w:b/>
          <w:color w:val="auto"/>
          <w:sz w:val="24"/>
          <w:szCs w:val="24"/>
        </w:rPr>
        <w:t>符合性审查表</w:t>
      </w:r>
    </w:p>
    <w:tbl>
      <w:tblPr>
        <w:tblStyle w:val="3"/>
        <w:tblpPr w:leftFromText="180" w:rightFromText="180" w:vertAnchor="text" w:horzAnchor="page" w:tblpX="1486" w:tblpY="130"/>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6192"/>
      </w:tblGrid>
      <w:tr w14:paraId="1CC1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79" w:type="dxa"/>
            <w:noWrap w:val="0"/>
            <w:vAlign w:val="center"/>
          </w:tcPr>
          <w:p w14:paraId="77F419CA">
            <w:pPr>
              <w:pStyle w:val="2"/>
              <w:spacing w:line="480" w:lineRule="exact"/>
              <w:jc w:val="center"/>
              <w:rPr>
                <w:rFonts w:hAnsi="宋体"/>
                <w:b/>
                <w:bCs/>
                <w:color w:val="auto"/>
                <w:sz w:val="24"/>
                <w:szCs w:val="24"/>
              </w:rPr>
            </w:pPr>
            <w:r>
              <w:rPr>
                <w:rFonts w:hint="eastAsia" w:hAnsi="宋体"/>
                <w:b/>
                <w:bCs/>
                <w:color w:val="auto"/>
                <w:sz w:val="24"/>
                <w:szCs w:val="24"/>
              </w:rPr>
              <w:t>审查项目</w:t>
            </w:r>
          </w:p>
        </w:tc>
        <w:tc>
          <w:tcPr>
            <w:tcW w:w="6192" w:type="dxa"/>
            <w:noWrap w:val="0"/>
            <w:vAlign w:val="center"/>
          </w:tcPr>
          <w:p w14:paraId="4659B113">
            <w:pPr>
              <w:pStyle w:val="2"/>
              <w:spacing w:line="480" w:lineRule="exact"/>
              <w:jc w:val="center"/>
              <w:rPr>
                <w:rFonts w:hAnsi="宋体"/>
                <w:b/>
                <w:bCs/>
                <w:color w:val="auto"/>
                <w:sz w:val="24"/>
                <w:szCs w:val="24"/>
              </w:rPr>
            </w:pPr>
            <w:r>
              <w:rPr>
                <w:rFonts w:hint="eastAsia" w:hAnsi="宋体"/>
                <w:b/>
                <w:bCs/>
                <w:color w:val="auto"/>
                <w:sz w:val="24"/>
                <w:szCs w:val="24"/>
              </w:rPr>
              <w:t>审查内容</w:t>
            </w:r>
          </w:p>
        </w:tc>
      </w:tr>
      <w:tr w14:paraId="5EA4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2879" w:type="dxa"/>
            <w:noWrap w:val="0"/>
            <w:vAlign w:val="center"/>
          </w:tcPr>
          <w:p w14:paraId="6401323F">
            <w:pPr>
              <w:pStyle w:val="2"/>
              <w:spacing w:line="480" w:lineRule="exact"/>
              <w:jc w:val="center"/>
              <w:rPr>
                <w:rFonts w:hAnsi="宋体"/>
                <w:color w:val="auto"/>
                <w:sz w:val="24"/>
                <w:szCs w:val="24"/>
              </w:rPr>
            </w:pPr>
            <w:r>
              <w:rPr>
                <w:rFonts w:hint="eastAsia" w:hAnsi="宋体"/>
                <w:color w:val="auto"/>
                <w:sz w:val="24"/>
                <w:szCs w:val="24"/>
              </w:rPr>
              <w:t>符合性审查</w:t>
            </w:r>
          </w:p>
        </w:tc>
        <w:tc>
          <w:tcPr>
            <w:tcW w:w="6192" w:type="dxa"/>
            <w:noWrap w:val="0"/>
            <w:vAlign w:val="center"/>
          </w:tcPr>
          <w:p w14:paraId="5E1CB734">
            <w:pPr>
              <w:pStyle w:val="2"/>
              <w:spacing w:line="480" w:lineRule="exact"/>
              <w:rPr>
                <w:rFonts w:hAnsi="宋体"/>
                <w:color w:val="auto"/>
                <w:sz w:val="24"/>
                <w:szCs w:val="28"/>
              </w:rPr>
            </w:pPr>
            <w:r>
              <w:rPr>
                <w:rFonts w:hint="eastAsia" w:hAnsi="宋体"/>
                <w:color w:val="auto"/>
                <w:sz w:val="24"/>
                <w:szCs w:val="28"/>
              </w:rPr>
              <w:t>1</w:t>
            </w:r>
            <w:r>
              <w:rPr>
                <w:rFonts w:hint="eastAsia" w:hAnsi="宋体"/>
                <w:color w:val="auto"/>
                <w:sz w:val="24"/>
                <w:szCs w:val="28"/>
                <w:lang w:eastAsia="zh-CN"/>
              </w:rPr>
              <w:t>.</w:t>
            </w:r>
            <w:r>
              <w:rPr>
                <w:rFonts w:hint="eastAsia" w:hAnsi="宋体"/>
                <w:color w:val="auto"/>
                <w:sz w:val="24"/>
              </w:rPr>
              <w:t>报价未超出本项目的最高限价；</w:t>
            </w:r>
          </w:p>
          <w:p w14:paraId="4FAC9341">
            <w:pPr>
              <w:pStyle w:val="2"/>
              <w:spacing w:line="480" w:lineRule="exact"/>
              <w:rPr>
                <w:rFonts w:hAnsi="宋体"/>
                <w:color w:val="auto"/>
                <w:sz w:val="24"/>
              </w:rPr>
            </w:pPr>
            <w:r>
              <w:rPr>
                <w:rFonts w:hint="eastAsia"/>
                <w:color w:val="auto"/>
                <w:sz w:val="24"/>
              </w:rPr>
              <w:t>2</w:t>
            </w:r>
            <w:r>
              <w:rPr>
                <w:rFonts w:hint="eastAsia"/>
                <w:color w:val="auto"/>
                <w:sz w:val="24"/>
                <w:lang w:eastAsia="zh-CN"/>
              </w:rPr>
              <w:t>.</w:t>
            </w:r>
            <w:r>
              <w:rPr>
                <w:rFonts w:hint="eastAsia" w:hAnsi="宋体"/>
                <w:color w:val="auto"/>
                <w:sz w:val="24"/>
              </w:rPr>
              <w:t>响应文件已按照</w:t>
            </w:r>
            <w:r>
              <w:rPr>
                <w:rFonts w:hint="eastAsia" w:hAnsi="宋体"/>
                <w:color w:val="auto"/>
                <w:sz w:val="24"/>
                <w:lang w:val="en-US" w:eastAsia="zh-CN"/>
              </w:rPr>
              <w:t>遴选</w:t>
            </w:r>
            <w:r>
              <w:rPr>
                <w:rFonts w:hint="eastAsia" w:hAnsi="宋体"/>
                <w:color w:val="auto"/>
                <w:sz w:val="24"/>
              </w:rPr>
              <w:t>文件规定要求签署、盖章；</w:t>
            </w:r>
          </w:p>
          <w:p w14:paraId="55851807">
            <w:pPr>
              <w:pStyle w:val="2"/>
              <w:spacing w:line="480" w:lineRule="exact"/>
              <w:rPr>
                <w:rFonts w:hAnsi="宋体"/>
                <w:color w:val="auto"/>
                <w:sz w:val="24"/>
              </w:rPr>
            </w:pPr>
            <w:r>
              <w:rPr>
                <w:rFonts w:hint="eastAsia" w:hAnsi="宋体"/>
                <w:color w:val="auto"/>
                <w:sz w:val="24"/>
              </w:rPr>
              <w:t>3</w:t>
            </w:r>
            <w:r>
              <w:rPr>
                <w:rFonts w:hint="eastAsia" w:hAnsi="宋体"/>
                <w:color w:val="auto"/>
                <w:sz w:val="24"/>
                <w:lang w:eastAsia="zh-CN"/>
              </w:rPr>
              <w:t>.</w:t>
            </w:r>
            <w:r>
              <w:rPr>
                <w:rFonts w:hint="eastAsia" w:hAnsi="宋体"/>
                <w:color w:val="auto"/>
                <w:sz w:val="24"/>
              </w:rPr>
              <w:t>响应文件中已提交有效的法定代表人/负责人证明书及授权委托书（如果法定代表人/负责人直接参加本项目响应及签署响应文件的，可不提供授权委托书）；</w:t>
            </w:r>
          </w:p>
          <w:p w14:paraId="060DD3A0">
            <w:pPr>
              <w:pStyle w:val="2"/>
              <w:spacing w:line="480" w:lineRule="exact"/>
              <w:rPr>
                <w:rFonts w:hAnsi="宋体"/>
                <w:color w:val="auto"/>
                <w:sz w:val="24"/>
              </w:rPr>
            </w:pPr>
            <w:r>
              <w:rPr>
                <w:rFonts w:hint="eastAsia" w:hAnsi="宋体"/>
                <w:color w:val="auto"/>
                <w:sz w:val="24"/>
              </w:rPr>
              <w:t>4</w:t>
            </w:r>
            <w:r>
              <w:rPr>
                <w:rFonts w:hint="eastAsia" w:hAnsi="宋体"/>
                <w:color w:val="auto"/>
                <w:sz w:val="24"/>
                <w:lang w:eastAsia="zh-CN"/>
              </w:rPr>
              <w:t>.</w:t>
            </w:r>
            <w:r>
              <w:rPr>
                <w:rFonts w:hint="eastAsia" w:hAnsi="宋体"/>
                <w:color w:val="auto"/>
                <w:sz w:val="24"/>
              </w:rPr>
              <w:t>响应有效期符合</w:t>
            </w:r>
            <w:r>
              <w:rPr>
                <w:rFonts w:hint="eastAsia" w:hAnsi="宋体"/>
                <w:color w:val="auto"/>
                <w:sz w:val="24"/>
                <w:lang w:val="en-US" w:eastAsia="zh-CN"/>
              </w:rPr>
              <w:t>遴选</w:t>
            </w:r>
            <w:r>
              <w:rPr>
                <w:rFonts w:hint="eastAsia" w:hAnsi="宋体"/>
                <w:color w:val="auto"/>
                <w:sz w:val="24"/>
              </w:rPr>
              <w:t>文件要求；</w:t>
            </w:r>
          </w:p>
          <w:p w14:paraId="73CC361D">
            <w:pPr>
              <w:pStyle w:val="2"/>
              <w:spacing w:line="480" w:lineRule="exact"/>
            </w:pPr>
            <w:r>
              <w:rPr>
                <w:rFonts w:hint="eastAsia" w:hAnsi="宋体"/>
                <w:color w:val="auto"/>
                <w:sz w:val="24"/>
              </w:rPr>
              <w:t>5</w:t>
            </w:r>
            <w:r>
              <w:rPr>
                <w:rFonts w:hint="eastAsia" w:hAnsi="宋体"/>
                <w:color w:val="auto"/>
                <w:sz w:val="24"/>
                <w:lang w:eastAsia="zh-CN"/>
              </w:rPr>
              <w:t>.</w:t>
            </w:r>
            <w:r>
              <w:rPr>
                <w:rFonts w:hint="eastAsia" w:cs="宋体"/>
                <w:color w:val="auto"/>
                <w:kern w:val="0"/>
                <w:sz w:val="24"/>
              </w:rPr>
              <w:t>响应文件中不存在</w:t>
            </w:r>
            <w:r>
              <w:rPr>
                <w:rFonts w:hint="eastAsia" w:cs="宋体"/>
                <w:color w:val="auto"/>
                <w:kern w:val="0"/>
                <w:sz w:val="24"/>
                <w:lang w:val="en-US" w:eastAsia="zh-CN"/>
              </w:rPr>
              <w:t>遴选</w:t>
            </w:r>
            <w:r>
              <w:rPr>
                <w:rFonts w:hint="eastAsia" w:cs="宋体"/>
                <w:color w:val="auto"/>
                <w:kern w:val="0"/>
                <w:sz w:val="24"/>
              </w:rPr>
              <w:t>文件或法规明确规定的其他无效响应情形</w:t>
            </w:r>
            <w:r>
              <w:rPr>
                <w:rFonts w:hint="eastAsia"/>
                <w:color w:val="auto"/>
                <w:sz w:val="24"/>
              </w:rPr>
              <w:t>。</w:t>
            </w:r>
          </w:p>
          <w:p w14:paraId="2ABD3DF4">
            <w:pPr>
              <w:pStyle w:val="2"/>
              <w:spacing w:line="480" w:lineRule="exact"/>
              <w:rPr>
                <w:rFonts w:hint="default" w:eastAsia="宋体"/>
                <w:lang w:val="en-US" w:eastAsia="zh-CN"/>
              </w:rPr>
            </w:pPr>
            <w:r>
              <w:rPr>
                <w:rFonts w:hint="eastAsia"/>
                <w:lang w:val="en-US" w:eastAsia="zh-CN"/>
              </w:rPr>
              <w:t>6.本采购项目要求中凡标有“★”的地方均被视为重要的技术指标要求或服务要求，响应人要特别加以注意，应当满足这些要求，若有任一项带“★”的指标未响应或不满足的，将作无效响应处理。</w:t>
            </w:r>
          </w:p>
        </w:tc>
      </w:tr>
    </w:tbl>
    <w:p w14:paraId="26611914">
      <w:pPr>
        <w:rPr>
          <w:rFonts w:hint="eastAsia" w:ascii="宋体" w:hAnsi="宋体" w:cs="宋体"/>
          <w:bCs/>
          <w:sz w:val="24"/>
        </w:rPr>
      </w:pPr>
    </w:p>
    <w:p w14:paraId="03126D1E">
      <w:pPr>
        <w:pStyle w:val="2"/>
        <w:spacing w:line="360" w:lineRule="auto"/>
        <w:ind w:firstLine="482" w:firstLineChars="200"/>
        <w:outlineLvl w:val="1"/>
        <w:rPr>
          <w:rFonts w:hint="eastAsia" w:ascii="Times New Roman" w:hAnsi="Times New Roman" w:eastAsia="宋体"/>
          <w:b/>
          <w:color w:val="auto"/>
          <w:sz w:val="24"/>
          <w:szCs w:val="21"/>
          <w:lang w:val="en-US" w:eastAsia="zh-CN"/>
        </w:rPr>
      </w:pPr>
      <w:bookmarkStart w:id="1" w:name="_GoBack"/>
      <w:bookmarkEnd w:id="1"/>
      <w:r>
        <w:rPr>
          <w:rFonts w:hint="eastAsia" w:hAnsi="宋体"/>
          <w:b/>
          <w:color w:val="auto"/>
          <w:sz w:val="24"/>
          <w:szCs w:val="24"/>
          <w:lang w:val="en-US" w:eastAsia="zh-CN"/>
        </w:rPr>
        <w:t>三、</w:t>
      </w:r>
      <w:r>
        <w:rPr>
          <w:rFonts w:hint="eastAsia" w:hAnsi="宋体"/>
          <w:b/>
          <w:color w:val="auto"/>
          <w:sz w:val="24"/>
          <w:szCs w:val="24"/>
        </w:rPr>
        <w:t>本项目的评审因素如下</w:t>
      </w:r>
      <w:r>
        <w:rPr>
          <w:rFonts w:hint="eastAsia" w:hAnsi="宋体"/>
          <w:b/>
          <w:color w:val="auto"/>
          <w:sz w:val="24"/>
          <w:szCs w:val="24"/>
          <w:lang w:eastAsia="zh-CN"/>
        </w:rPr>
        <w:t>：</w:t>
      </w:r>
    </w:p>
    <w:tbl>
      <w:tblPr>
        <w:tblStyle w:val="3"/>
        <w:tblW w:w="9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1516"/>
        <w:gridCol w:w="6816"/>
      </w:tblGrid>
      <w:tr w14:paraId="06E3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A2F0F7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b/>
                <w:bCs/>
                <w:color w:val="auto"/>
                <w:sz w:val="24"/>
                <w:szCs w:val="24"/>
              </w:rPr>
              <w:t>评分项目</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F5BC481">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评分因素</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DB6F068">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评分指标</w:t>
            </w:r>
          </w:p>
        </w:tc>
      </w:tr>
      <w:tr w14:paraId="3D49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8" w:hRule="atLeast"/>
          <w:jc w:val="center"/>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0D8A20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商务</w:t>
            </w:r>
          </w:p>
          <w:p w14:paraId="03CD1D3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评分</w:t>
            </w:r>
          </w:p>
          <w:p w14:paraId="000F60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25分</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D8637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aps w:val="0"/>
                <w:color w:val="222222"/>
                <w:spacing w:val="0"/>
                <w:sz w:val="24"/>
                <w:szCs w:val="24"/>
              </w:rPr>
              <w:t>采购需求中商务条款要求的响应情况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（9分）</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3071C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aps w:val="0"/>
                <w:color w:val="222222"/>
                <w:spacing w:val="0"/>
                <w:sz w:val="24"/>
                <w:szCs w:val="24"/>
              </w:rPr>
              <w:t>根据</w:t>
            </w:r>
            <w:r>
              <w:rPr>
                <w:rFonts w:hint="eastAsia" w:ascii="宋体" w:hAnsi="宋体" w:eastAsia="宋体" w:cs="宋体"/>
                <w:i w:val="0"/>
                <w:iCs w:val="0"/>
                <w:caps w:val="0"/>
                <w:color w:val="222222"/>
                <w:spacing w:val="0"/>
                <w:sz w:val="24"/>
                <w:szCs w:val="24"/>
                <w:lang w:eastAsia="zh-CN"/>
              </w:rPr>
              <w:t>响应人</w:t>
            </w:r>
            <w:r>
              <w:rPr>
                <w:rFonts w:hint="eastAsia" w:ascii="宋体" w:hAnsi="宋体" w:eastAsia="宋体" w:cs="宋体"/>
                <w:i w:val="0"/>
                <w:iCs w:val="0"/>
                <w:caps w:val="0"/>
                <w:color w:val="222222"/>
                <w:spacing w:val="0"/>
                <w:sz w:val="24"/>
                <w:szCs w:val="24"/>
              </w:rPr>
              <w:t>对</w:t>
            </w:r>
            <w:r>
              <w:rPr>
                <w:rFonts w:hint="eastAsia" w:ascii="宋体" w:hAnsi="宋体" w:eastAsia="宋体" w:cs="宋体"/>
                <w:i w:val="0"/>
                <w:iCs w:val="0"/>
                <w:caps w:val="0"/>
                <w:color w:val="222222"/>
                <w:spacing w:val="0"/>
                <w:sz w:val="24"/>
                <w:szCs w:val="24"/>
                <w:lang w:eastAsia="zh-CN"/>
              </w:rPr>
              <w:t>遴选文件</w:t>
            </w:r>
            <w:r>
              <w:rPr>
                <w:rFonts w:hint="eastAsia" w:ascii="宋体" w:hAnsi="宋体" w:eastAsia="宋体" w:cs="宋体"/>
                <w:i w:val="0"/>
                <w:iCs w:val="0"/>
                <w:caps w:val="0"/>
                <w:color w:val="222222"/>
                <w:spacing w:val="0"/>
                <w:sz w:val="24"/>
                <w:szCs w:val="24"/>
              </w:rPr>
              <w:t>第二</w:t>
            </w:r>
            <w:r>
              <w:rPr>
                <w:rFonts w:hint="eastAsia" w:ascii="宋体" w:hAnsi="宋体" w:eastAsia="宋体" w:cs="宋体"/>
                <w:i w:val="0"/>
                <w:iCs w:val="0"/>
                <w:caps w:val="0"/>
                <w:color w:val="222222"/>
                <w:spacing w:val="0"/>
                <w:sz w:val="24"/>
                <w:szCs w:val="24"/>
                <w:lang w:val="en-US" w:eastAsia="zh-CN"/>
              </w:rPr>
              <w:t>部分</w:t>
            </w:r>
            <w:r>
              <w:rPr>
                <w:rFonts w:hint="eastAsia" w:ascii="宋体" w:hAnsi="宋体" w:eastAsia="宋体" w:cs="宋体"/>
                <w:i w:val="0"/>
                <w:iCs w:val="0"/>
                <w:caps w:val="0"/>
                <w:color w:val="222222"/>
                <w:spacing w:val="0"/>
                <w:sz w:val="24"/>
                <w:szCs w:val="24"/>
              </w:rPr>
              <w:t>采购</w:t>
            </w:r>
            <w:r>
              <w:rPr>
                <w:rFonts w:hint="eastAsia" w:ascii="宋体" w:hAnsi="宋体" w:eastAsia="宋体" w:cs="宋体"/>
                <w:i w:val="0"/>
                <w:iCs w:val="0"/>
                <w:caps w:val="0"/>
                <w:color w:val="222222"/>
                <w:spacing w:val="0"/>
                <w:sz w:val="24"/>
                <w:szCs w:val="24"/>
                <w:lang w:val="en-US" w:eastAsia="zh-CN"/>
              </w:rPr>
              <w:t>项目要求</w:t>
            </w:r>
            <w:r>
              <w:rPr>
                <w:rFonts w:hint="eastAsia" w:ascii="宋体" w:hAnsi="宋体" w:eastAsia="宋体" w:cs="宋体"/>
                <w:i w:val="0"/>
                <w:iCs w:val="0"/>
                <w:caps w:val="0"/>
                <w:color w:val="222222"/>
                <w:spacing w:val="0"/>
                <w:sz w:val="24"/>
                <w:szCs w:val="24"/>
              </w:rPr>
              <w:t>中“</w:t>
            </w:r>
            <w:r>
              <w:rPr>
                <w:rFonts w:hint="eastAsia" w:ascii="宋体" w:hAnsi="宋体" w:eastAsia="宋体" w:cs="宋体"/>
                <w:i w:val="0"/>
                <w:iCs w:val="0"/>
                <w:caps w:val="0"/>
                <w:color w:val="222222"/>
                <w:spacing w:val="0"/>
                <w:sz w:val="24"/>
                <w:szCs w:val="24"/>
                <w:lang w:val="en-US" w:eastAsia="zh-CN"/>
              </w:rPr>
              <w:t>2</w:t>
            </w:r>
            <w:r>
              <w:rPr>
                <w:rFonts w:hint="eastAsia" w:ascii="宋体" w:hAnsi="宋体" w:eastAsia="宋体" w:cs="宋体"/>
                <w:i w:val="0"/>
                <w:iCs w:val="0"/>
                <w:caps w:val="0"/>
                <w:color w:val="222222"/>
                <w:spacing w:val="0"/>
                <w:sz w:val="24"/>
                <w:szCs w:val="24"/>
              </w:rPr>
              <w:t>.商务要求”中“</w:t>
            </w:r>
            <w:r>
              <w:rPr>
                <w:rFonts w:hint="eastAsia" w:ascii="宋体" w:hAnsi="宋体" w:eastAsia="宋体" w:cs="宋体"/>
                <w:i w:val="0"/>
                <w:iCs w:val="0"/>
                <w:caps w:val="0"/>
                <w:color w:val="222222"/>
                <w:spacing w:val="0"/>
                <w:sz w:val="24"/>
                <w:szCs w:val="24"/>
                <w:lang w:val="en-US" w:eastAsia="zh-CN"/>
              </w:rPr>
              <w:t>2.12</w:t>
            </w:r>
            <w:r>
              <w:rPr>
                <w:rFonts w:hint="eastAsia" w:ascii="宋体" w:hAnsi="宋体" w:eastAsia="宋体" w:cs="宋体"/>
                <w:i w:val="0"/>
                <w:iCs w:val="0"/>
                <w:caps w:val="0"/>
                <w:color w:val="222222"/>
                <w:spacing w:val="0"/>
                <w:sz w:val="24"/>
                <w:szCs w:val="24"/>
              </w:rPr>
              <w:t>其他”商务条款要求的响应情况进行评审：完全满足或优于招标要求的，得</w:t>
            </w:r>
            <w:r>
              <w:rPr>
                <w:rFonts w:hint="eastAsia" w:ascii="宋体" w:hAnsi="宋体" w:eastAsia="宋体" w:cs="宋体"/>
                <w:i w:val="0"/>
                <w:iCs w:val="0"/>
                <w:caps w:val="0"/>
                <w:color w:val="222222"/>
                <w:spacing w:val="0"/>
                <w:sz w:val="24"/>
                <w:szCs w:val="24"/>
                <w:lang w:val="en-US" w:eastAsia="zh-CN"/>
              </w:rPr>
              <w:t>1</w:t>
            </w:r>
            <w:r>
              <w:rPr>
                <w:rFonts w:hint="eastAsia" w:ascii="宋体" w:hAnsi="宋体" w:eastAsia="宋体" w:cs="宋体"/>
                <w:i w:val="0"/>
                <w:iCs w:val="0"/>
                <w:caps w:val="0"/>
                <w:color w:val="222222"/>
                <w:spacing w:val="0"/>
                <w:sz w:val="24"/>
                <w:szCs w:val="24"/>
              </w:rPr>
              <w:t>分，若有不满足的</w:t>
            </w:r>
            <w:r>
              <w:rPr>
                <w:rFonts w:hint="eastAsia" w:ascii="宋体" w:hAnsi="宋体" w:eastAsia="宋体" w:cs="宋体"/>
                <w:i w:val="0"/>
                <w:iCs w:val="0"/>
                <w:caps w:val="0"/>
                <w:color w:val="222222"/>
                <w:spacing w:val="0"/>
                <w:sz w:val="24"/>
                <w:szCs w:val="24"/>
                <w:highlight w:val="none"/>
              </w:rPr>
              <w:t>（共</w:t>
            </w:r>
            <w:r>
              <w:rPr>
                <w:rFonts w:hint="eastAsia" w:ascii="宋体" w:hAnsi="宋体" w:eastAsia="宋体" w:cs="宋体"/>
                <w:i w:val="0"/>
                <w:iCs w:val="0"/>
                <w:caps w:val="0"/>
                <w:color w:val="222222"/>
                <w:spacing w:val="0"/>
                <w:sz w:val="24"/>
                <w:szCs w:val="24"/>
                <w:highlight w:val="none"/>
                <w:lang w:val="en-US" w:eastAsia="zh-CN"/>
              </w:rPr>
              <w:t>9</w:t>
            </w:r>
            <w:r>
              <w:rPr>
                <w:rFonts w:hint="eastAsia" w:ascii="宋体" w:hAnsi="宋体" w:eastAsia="宋体" w:cs="宋体"/>
                <w:i w:val="0"/>
                <w:iCs w:val="0"/>
                <w:caps w:val="0"/>
                <w:color w:val="222222"/>
                <w:spacing w:val="0"/>
                <w:sz w:val="24"/>
                <w:szCs w:val="24"/>
                <w:highlight w:val="none"/>
              </w:rPr>
              <w:t>项）的</w:t>
            </w:r>
            <w:r>
              <w:rPr>
                <w:rFonts w:hint="eastAsia" w:ascii="宋体" w:hAnsi="宋体" w:eastAsia="宋体" w:cs="宋体"/>
                <w:i w:val="0"/>
                <w:iCs w:val="0"/>
                <w:caps w:val="0"/>
                <w:color w:val="222222"/>
                <w:spacing w:val="0"/>
                <w:sz w:val="24"/>
                <w:szCs w:val="24"/>
              </w:rPr>
              <w:t>，每项扣</w:t>
            </w:r>
            <w:r>
              <w:rPr>
                <w:rFonts w:hint="eastAsia" w:ascii="宋体" w:hAnsi="宋体" w:eastAsia="宋体" w:cs="宋体"/>
                <w:i w:val="0"/>
                <w:iCs w:val="0"/>
                <w:caps w:val="0"/>
                <w:color w:val="222222"/>
                <w:spacing w:val="0"/>
                <w:sz w:val="24"/>
                <w:szCs w:val="24"/>
                <w:lang w:val="en-US" w:eastAsia="zh-CN"/>
              </w:rPr>
              <w:t>1</w:t>
            </w:r>
            <w:r>
              <w:rPr>
                <w:rFonts w:hint="eastAsia" w:ascii="宋体" w:hAnsi="宋体" w:eastAsia="宋体" w:cs="宋体"/>
                <w:i w:val="0"/>
                <w:iCs w:val="0"/>
                <w:caps w:val="0"/>
                <w:color w:val="222222"/>
                <w:spacing w:val="0"/>
                <w:sz w:val="24"/>
                <w:szCs w:val="24"/>
              </w:rPr>
              <w:t>分，扣完为</w:t>
            </w:r>
            <w:r>
              <w:rPr>
                <w:rFonts w:hint="eastAsia" w:ascii="宋体" w:hAnsi="宋体" w:eastAsia="宋体" w:cs="宋体"/>
                <w:i w:val="0"/>
                <w:iCs w:val="0"/>
                <w:caps w:val="0"/>
                <w:color w:val="222222"/>
                <w:spacing w:val="0"/>
                <w:sz w:val="24"/>
                <w:szCs w:val="24"/>
                <w:highlight w:val="none"/>
              </w:rPr>
              <w:t>止。 注：以</w:t>
            </w:r>
            <w:r>
              <w:rPr>
                <w:rFonts w:hint="eastAsia" w:ascii="宋体" w:hAnsi="宋体" w:eastAsia="宋体" w:cs="宋体"/>
                <w:i w:val="0"/>
                <w:iCs w:val="0"/>
                <w:caps w:val="0"/>
                <w:color w:val="222222"/>
                <w:spacing w:val="0"/>
                <w:sz w:val="24"/>
                <w:szCs w:val="24"/>
                <w:highlight w:val="none"/>
                <w:lang w:eastAsia="zh-CN"/>
              </w:rPr>
              <w:t>响应人响应文件</w:t>
            </w:r>
            <w:r>
              <w:rPr>
                <w:rFonts w:hint="eastAsia" w:ascii="宋体" w:hAnsi="宋体" w:eastAsia="宋体" w:cs="宋体"/>
                <w:i w:val="0"/>
                <w:iCs w:val="0"/>
                <w:caps w:val="0"/>
                <w:color w:val="222222"/>
                <w:spacing w:val="0"/>
                <w:sz w:val="24"/>
                <w:szCs w:val="24"/>
                <w:highlight w:val="none"/>
              </w:rPr>
              <w:t>中《商务条件响应表》的响应情况填写内容为准，未填写的或商务条款负偏离的都视为不满足。</w:t>
            </w:r>
          </w:p>
        </w:tc>
      </w:tr>
      <w:tr w14:paraId="2851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43D009D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99493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lang w:val="en-US" w:eastAsia="zh-CN"/>
              </w:rPr>
              <w:t>销售业绩</w:t>
            </w:r>
          </w:p>
          <w:p w14:paraId="4F3F449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lang w:val="en-US" w:eastAsia="zh-CN"/>
              </w:rPr>
              <w:t>（6分）</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7473353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5"/>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aps w:val="0"/>
                <w:color w:val="222222"/>
                <w:spacing w:val="0"/>
                <w:sz w:val="24"/>
                <w:szCs w:val="24"/>
                <w:highlight w:val="none"/>
                <w:lang w:eastAsia="zh-CN"/>
              </w:rPr>
              <w:t>响应人</w:t>
            </w:r>
            <w:r>
              <w:rPr>
                <w:rFonts w:hint="eastAsia" w:ascii="宋体" w:hAnsi="宋体" w:eastAsia="宋体" w:cs="宋体"/>
                <w:i w:val="0"/>
                <w:iCs w:val="0"/>
                <w:caps w:val="0"/>
                <w:color w:val="222222"/>
                <w:spacing w:val="0"/>
                <w:sz w:val="24"/>
                <w:szCs w:val="24"/>
                <w:highlight w:val="none"/>
              </w:rPr>
              <w:t>202</w:t>
            </w:r>
            <w:r>
              <w:rPr>
                <w:rFonts w:hint="eastAsia" w:ascii="宋体" w:hAnsi="宋体" w:eastAsia="宋体" w:cs="宋体"/>
                <w:i w:val="0"/>
                <w:iCs w:val="0"/>
                <w:caps w:val="0"/>
                <w:color w:val="222222"/>
                <w:spacing w:val="0"/>
                <w:sz w:val="24"/>
                <w:szCs w:val="24"/>
                <w:highlight w:val="none"/>
                <w:lang w:val="en-US" w:eastAsia="zh-CN"/>
              </w:rPr>
              <w:t>2</w:t>
            </w:r>
            <w:r>
              <w:rPr>
                <w:rFonts w:hint="eastAsia" w:ascii="宋体" w:hAnsi="宋体" w:eastAsia="宋体" w:cs="宋体"/>
                <w:i w:val="0"/>
                <w:iCs w:val="0"/>
                <w:caps w:val="0"/>
                <w:color w:val="222222"/>
                <w:spacing w:val="0"/>
                <w:sz w:val="24"/>
                <w:szCs w:val="24"/>
                <w:highlight w:val="none"/>
              </w:rPr>
              <w:t>年1月1日至今（以合同签订日期为准）具有同类产品供货业绩的，每个得</w:t>
            </w:r>
            <w:r>
              <w:rPr>
                <w:rFonts w:hint="eastAsia" w:ascii="宋体" w:hAnsi="宋体" w:eastAsia="宋体" w:cs="宋体"/>
                <w:i w:val="0"/>
                <w:iCs w:val="0"/>
                <w:caps w:val="0"/>
                <w:color w:val="222222"/>
                <w:spacing w:val="0"/>
                <w:sz w:val="24"/>
                <w:szCs w:val="24"/>
                <w:highlight w:val="none"/>
                <w:lang w:val="en-US" w:eastAsia="zh-CN"/>
              </w:rPr>
              <w:t>2</w:t>
            </w:r>
            <w:r>
              <w:rPr>
                <w:rFonts w:hint="eastAsia" w:ascii="宋体" w:hAnsi="宋体" w:eastAsia="宋体" w:cs="宋体"/>
                <w:i w:val="0"/>
                <w:iCs w:val="0"/>
                <w:caps w:val="0"/>
                <w:color w:val="222222"/>
                <w:spacing w:val="0"/>
                <w:sz w:val="24"/>
                <w:szCs w:val="24"/>
                <w:highlight w:val="none"/>
              </w:rPr>
              <w:t>分，没有的得0分，本项最高得</w:t>
            </w:r>
            <w:r>
              <w:rPr>
                <w:rFonts w:hint="eastAsia" w:ascii="宋体" w:hAnsi="宋体" w:eastAsia="宋体" w:cs="宋体"/>
                <w:i w:val="0"/>
                <w:iCs w:val="0"/>
                <w:caps w:val="0"/>
                <w:color w:val="222222"/>
                <w:spacing w:val="0"/>
                <w:sz w:val="24"/>
                <w:szCs w:val="24"/>
                <w:highlight w:val="none"/>
                <w:lang w:val="en-US" w:eastAsia="zh-CN"/>
              </w:rPr>
              <w:t>6</w:t>
            </w:r>
            <w:r>
              <w:rPr>
                <w:rFonts w:hint="eastAsia" w:ascii="宋体" w:hAnsi="宋体" w:eastAsia="宋体" w:cs="宋体"/>
                <w:i w:val="0"/>
                <w:iCs w:val="0"/>
                <w:caps w:val="0"/>
                <w:color w:val="222222"/>
                <w:spacing w:val="0"/>
                <w:sz w:val="24"/>
                <w:szCs w:val="24"/>
                <w:highlight w:val="none"/>
              </w:rPr>
              <w:t>分。 注：需在</w:t>
            </w:r>
            <w:r>
              <w:rPr>
                <w:rFonts w:hint="eastAsia" w:ascii="宋体" w:hAnsi="宋体" w:eastAsia="宋体" w:cs="宋体"/>
                <w:i w:val="0"/>
                <w:iCs w:val="0"/>
                <w:caps w:val="0"/>
                <w:color w:val="222222"/>
                <w:spacing w:val="0"/>
                <w:sz w:val="24"/>
                <w:szCs w:val="24"/>
                <w:highlight w:val="none"/>
                <w:lang w:eastAsia="zh-CN"/>
              </w:rPr>
              <w:t>响应文件</w:t>
            </w:r>
            <w:r>
              <w:rPr>
                <w:rFonts w:hint="eastAsia" w:ascii="宋体" w:hAnsi="宋体" w:eastAsia="宋体" w:cs="宋体"/>
                <w:i w:val="0"/>
                <w:iCs w:val="0"/>
                <w:caps w:val="0"/>
                <w:color w:val="222222"/>
                <w:spacing w:val="0"/>
                <w:sz w:val="24"/>
                <w:szCs w:val="24"/>
                <w:highlight w:val="none"/>
              </w:rPr>
              <w:t>中提供项目合同复印件，并加盖</w:t>
            </w:r>
            <w:r>
              <w:rPr>
                <w:rFonts w:hint="eastAsia" w:ascii="宋体" w:hAnsi="宋体" w:eastAsia="宋体" w:cs="宋体"/>
                <w:i w:val="0"/>
                <w:iCs w:val="0"/>
                <w:caps w:val="0"/>
                <w:color w:val="222222"/>
                <w:spacing w:val="0"/>
                <w:sz w:val="24"/>
                <w:szCs w:val="24"/>
                <w:highlight w:val="none"/>
                <w:lang w:eastAsia="zh-CN"/>
              </w:rPr>
              <w:t>响应人</w:t>
            </w:r>
            <w:r>
              <w:rPr>
                <w:rFonts w:hint="eastAsia" w:ascii="宋体" w:hAnsi="宋体" w:eastAsia="宋体" w:cs="宋体"/>
                <w:i w:val="0"/>
                <w:iCs w:val="0"/>
                <w:caps w:val="0"/>
                <w:color w:val="222222"/>
                <w:spacing w:val="0"/>
                <w:sz w:val="24"/>
                <w:szCs w:val="24"/>
                <w:highlight w:val="none"/>
              </w:rPr>
              <w:t>单位公章，否则不得分。</w:t>
            </w:r>
          </w:p>
        </w:tc>
      </w:tr>
      <w:tr w14:paraId="780BE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2E9F7D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54C7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售后服务方案</w:t>
            </w:r>
          </w:p>
          <w:p w14:paraId="502A2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10分</w:t>
            </w:r>
          </w:p>
          <w:p w14:paraId="77934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lang w:val="en-US" w:eastAsia="zh-CN"/>
              </w:rPr>
              <w:t>等次分值</w:t>
            </w:r>
          </w:p>
          <w:p w14:paraId="087BA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（0；2；5；10）</w:t>
            </w:r>
          </w:p>
          <w:p w14:paraId="0A1BDB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aps w:val="0"/>
                <w:color w:val="222222"/>
                <w:spacing w:val="0"/>
                <w:sz w:val="24"/>
                <w:szCs w:val="24"/>
                <w:lang w:val="en-US" w:eastAsia="zh-CN"/>
              </w:rPr>
            </w:pPr>
          </w:p>
        </w:tc>
        <w:tc>
          <w:tcPr>
            <w:tcW w:w="6816" w:type="dxa"/>
            <w:tcBorders>
              <w:top w:val="single" w:color="auto" w:sz="4" w:space="0"/>
              <w:left w:val="single" w:color="auto" w:sz="4" w:space="0"/>
              <w:bottom w:val="single" w:color="auto" w:sz="4" w:space="0"/>
              <w:right w:val="single" w:color="auto" w:sz="4" w:space="0"/>
            </w:tcBorders>
            <w:noWrap w:val="0"/>
            <w:vAlign w:val="center"/>
          </w:tcPr>
          <w:p w14:paraId="74E245A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5"/>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aps w:val="0"/>
                <w:color w:val="222222"/>
                <w:spacing w:val="0"/>
                <w:sz w:val="24"/>
                <w:szCs w:val="24"/>
              </w:rPr>
              <w:t>根据售后服务方案（包括售后服务内容、服务响应时间、售后服务人员配置等）是否详细、合理，是否能够承诺针对本项目提供及时、优质、专业的售后服务进行评审： 1、具有完善具体可行的售后服务方案，售后服务便捷、响应速度快，各阶段服务方案详尽，优于采购人需求并提出合理化的建议，得</w:t>
            </w:r>
            <w:r>
              <w:rPr>
                <w:rFonts w:hint="eastAsia" w:ascii="宋体" w:hAnsi="宋体" w:eastAsia="宋体" w:cs="宋体"/>
                <w:i w:val="0"/>
                <w:iCs w:val="0"/>
                <w:caps w:val="0"/>
                <w:color w:val="222222"/>
                <w:spacing w:val="0"/>
                <w:sz w:val="24"/>
                <w:szCs w:val="24"/>
                <w:lang w:val="en-US" w:eastAsia="zh-CN"/>
              </w:rPr>
              <w:t>10</w:t>
            </w:r>
            <w:r>
              <w:rPr>
                <w:rFonts w:hint="eastAsia" w:ascii="宋体" w:hAnsi="宋体" w:eastAsia="宋体" w:cs="宋体"/>
                <w:i w:val="0"/>
                <w:iCs w:val="0"/>
                <w:caps w:val="0"/>
                <w:color w:val="222222"/>
                <w:spacing w:val="0"/>
                <w:sz w:val="24"/>
                <w:szCs w:val="24"/>
              </w:rPr>
              <w:t>分； 2、售后服务方案有一定的可行性，售后服务较便捷，响应及时，各阶段服务方案完整，完全满足采购人需求的，得</w:t>
            </w:r>
            <w:r>
              <w:rPr>
                <w:rFonts w:hint="eastAsia" w:ascii="宋体" w:hAnsi="宋体" w:eastAsia="宋体" w:cs="宋体"/>
                <w:i w:val="0"/>
                <w:iCs w:val="0"/>
                <w:caps w:val="0"/>
                <w:color w:val="222222"/>
                <w:spacing w:val="0"/>
                <w:sz w:val="24"/>
                <w:szCs w:val="24"/>
                <w:lang w:val="en-US" w:eastAsia="zh-CN"/>
              </w:rPr>
              <w:t>5</w:t>
            </w:r>
            <w:r>
              <w:rPr>
                <w:rFonts w:hint="eastAsia" w:ascii="宋体" w:hAnsi="宋体" w:eastAsia="宋体" w:cs="宋体"/>
                <w:i w:val="0"/>
                <w:iCs w:val="0"/>
                <w:caps w:val="0"/>
                <w:color w:val="222222"/>
                <w:spacing w:val="0"/>
                <w:sz w:val="24"/>
                <w:szCs w:val="24"/>
              </w:rPr>
              <w:t>分； 3、售后服务方案可行性一般，售后服务一般，响应速度一般，各阶段服务方案一般，部分满足采购人需求的，得</w:t>
            </w:r>
            <w:r>
              <w:rPr>
                <w:rFonts w:hint="eastAsia" w:ascii="宋体" w:hAnsi="宋体" w:eastAsia="宋体" w:cs="宋体"/>
                <w:i w:val="0"/>
                <w:iCs w:val="0"/>
                <w:caps w:val="0"/>
                <w:color w:val="222222"/>
                <w:spacing w:val="0"/>
                <w:sz w:val="24"/>
                <w:szCs w:val="24"/>
                <w:lang w:val="en-US" w:eastAsia="zh-CN"/>
              </w:rPr>
              <w:t>2</w:t>
            </w:r>
            <w:r>
              <w:rPr>
                <w:rFonts w:hint="eastAsia" w:ascii="宋体" w:hAnsi="宋体" w:eastAsia="宋体" w:cs="宋体"/>
                <w:i w:val="0"/>
                <w:iCs w:val="0"/>
                <w:caps w:val="0"/>
                <w:color w:val="222222"/>
                <w:spacing w:val="0"/>
                <w:sz w:val="24"/>
                <w:szCs w:val="24"/>
              </w:rPr>
              <w:t>分； 4、未提供售后服务方案或售后服务方案可行性差，售后服务内容及各阶段服务计划完整性缺漏，完全不满足采购人需求的，得0分。</w:t>
            </w:r>
          </w:p>
        </w:tc>
      </w:tr>
      <w:tr w14:paraId="4E14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vMerge w:val="restart"/>
            <w:tcBorders>
              <w:top w:val="single" w:color="auto" w:sz="4" w:space="0"/>
              <w:left w:val="single" w:color="auto" w:sz="4" w:space="0"/>
              <w:right w:val="single" w:color="000000" w:sz="4" w:space="0"/>
            </w:tcBorders>
            <w:noWrap/>
            <w:vAlign w:val="center"/>
          </w:tcPr>
          <w:p w14:paraId="650F65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技术</w:t>
            </w:r>
          </w:p>
          <w:p w14:paraId="43DC8F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评分</w:t>
            </w:r>
          </w:p>
          <w:p w14:paraId="4C430A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45分</w:t>
            </w:r>
          </w:p>
        </w:tc>
        <w:tc>
          <w:tcPr>
            <w:tcW w:w="1516" w:type="dxa"/>
            <w:tcBorders>
              <w:top w:val="single" w:color="auto" w:sz="4" w:space="0"/>
              <w:left w:val="single" w:color="000000" w:sz="4" w:space="0"/>
              <w:bottom w:val="single" w:color="000000" w:sz="4" w:space="0"/>
              <w:right w:val="single" w:color="000000" w:sz="4" w:space="0"/>
            </w:tcBorders>
            <w:noWrap w:val="0"/>
            <w:vAlign w:val="center"/>
          </w:tcPr>
          <w:p w14:paraId="5AF03C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aps w:val="0"/>
                <w:color w:val="222222"/>
                <w:spacing w:val="0"/>
                <w:sz w:val="24"/>
                <w:szCs w:val="24"/>
              </w:rPr>
              <w:t>采购需求中技术标准与要求的响应情况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（24分）</w:t>
            </w:r>
          </w:p>
        </w:tc>
        <w:tc>
          <w:tcPr>
            <w:tcW w:w="6816" w:type="dxa"/>
            <w:tcBorders>
              <w:top w:val="single" w:color="auto" w:sz="4" w:space="0"/>
              <w:left w:val="single" w:color="000000" w:sz="4" w:space="0"/>
              <w:bottom w:val="single" w:color="000000" w:sz="4" w:space="0"/>
              <w:right w:val="single" w:color="000000" w:sz="4" w:space="0"/>
            </w:tcBorders>
            <w:noWrap w:val="0"/>
            <w:vAlign w:val="center"/>
          </w:tcPr>
          <w:p w14:paraId="77D5C2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222222"/>
                <w:spacing w:val="0"/>
                <w:sz w:val="24"/>
                <w:szCs w:val="24"/>
              </w:rPr>
              <w:t>根据</w:t>
            </w:r>
            <w:r>
              <w:rPr>
                <w:rFonts w:hint="eastAsia" w:ascii="宋体" w:hAnsi="宋体" w:eastAsia="宋体" w:cs="宋体"/>
                <w:i w:val="0"/>
                <w:iCs w:val="0"/>
                <w:caps w:val="0"/>
                <w:color w:val="222222"/>
                <w:spacing w:val="0"/>
                <w:sz w:val="24"/>
                <w:szCs w:val="24"/>
                <w:lang w:eastAsia="zh-CN"/>
              </w:rPr>
              <w:t>响应人</w:t>
            </w:r>
            <w:r>
              <w:rPr>
                <w:rFonts w:hint="eastAsia" w:ascii="宋体" w:hAnsi="宋体" w:eastAsia="宋体" w:cs="宋体"/>
                <w:i w:val="0"/>
                <w:iCs w:val="0"/>
                <w:caps w:val="0"/>
                <w:color w:val="222222"/>
                <w:spacing w:val="0"/>
                <w:sz w:val="24"/>
                <w:szCs w:val="24"/>
              </w:rPr>
              <w:t>所投报产品对</w:t>
            </w:r>
            <w:r>
              <w:rPr>
                <w:rFonts w:hint="eastAsia" w:ascii="宋体" w:hAnsi="宋体" w:eastAsia="宋体" w:cs="宋体"/>
                <w:i w:val="0"/>
                <w:iCs w:val="0"/>
                <w:caps w:val="0"/>
                <w:color w:val="222222"/>
                <w:spacing w:val="0"/>
                <w:sz w:val="24"/>
                <w:szCs w:val="24"/>
                <w:lang w:eastAsia="zh-CN"/>
              </w:rPr>
              <w:t>遴选文件</w:t>
            </w:r>
            <w:r>
              <w:rPr>
                <w:rFonts w:hint="eastAsia" w:ascii="宋体" w:hAnsi="宋体" w:eastAsia="宋体" w:cs="宋体"/>
                <w:i w:val="0"/>
                <w:iCs w:val="0"/>
                <w:caps w:val="0"/>
                <w:color w:val="222222"/>
                <w:spacing w:val="0"/>
                <w:sz w:val="24"/>
                <w:szCs w:val="24"/>
              </w:rPr>
              <w:t>第二章采购需求中“</w:t>
            </w:r>
            <w:r>
              <w:rPr>
                <w:rFonts w:hint="eastAsia" w:ascii="宋体" w:hAnsi="宋体" w:eastAsia="宋体" w:cs="宋体"/>
                <w:i w:val="0"/>
                <w:iCs w:val="0"/>
                <w:caps w:val="0"/>
                <w:color w:val="222222"/>
                <w:spacing w:val="0"/>
                <w:sz w:val="24"/>
                <w:szCs w:val="24"/>
                <w:lang w:val="en-US" w:eastAsia="zh-CN"/>
              </w:rPr>
              <w:t>3</w:t>
            </w:r>
            <w:r>
              <w:rPr>
                <w:rFonts w:hint="eastAsia" w:ascii="宋体" w:hAnsi="宋体" w:eastAsia="宋体" w:cs="宋体"/>
                <w:i w:val="0"/>
                <w:iCs w:val="0"/>
                <w:caps w:val="0"/>
                <w:color w:val="222222"/>
                <w:spacing w:val="0"/>
                <w:sz w:val="24"/>
                <w:szCs w:val="24"/>
              </w:rPr>
              <w:t>.</w:t>
            </w:r>
            <w:r>
              <w:rPr>
                <w:rFonts w:hint="eastAsia" w:ascii="宋体" w:hAnsi="宋体" w:eastAsia="宋体" w:cs="宋体"/>
                <w:i w:val="0"/>
                <w:iCs w:val="0"/>
                <w:caps w:val="0"/>
                <w:color w:val="222222"/>
                <w:spacing w:val="0"/>
                <w:sz w:val="24"/>
                <w:szCs w:val="24"/>
                <w:lang w:val="en-US" w:eastAsia="zh-CN"/>
              </w:rPr>
              <w:t>1产品</w:t>
            </w:r>
            <w:r>
              <w:rPr>
                <w:rFonts w:hint="eastAsia" w:ascii="宋体" w:hAnsi="宋体" w:eastAsia="宋体" w:cs="宋体"/>
                <w:i w:val="0"/>
                <w:iCs w:val="0"/>
                <w:caps w:val="0"/>
                <w:color w:val="222222"/>
                <w:spacing w:val="0"/>
                <w:sz w:val="24"/>
                <w:szCs w:val="24"/>
              </w:rPr>
              <w:t>技术</w:t>
            </w:r>
            <w:r>
              <w:rPr>
                <w:rFonts w:hint="eastAsia" w:ascii="宋体" w:hAnsi="宋体" w:eastAsia="宋体" w:cs="宋体"/>
                <w:i w:val="0"/>
                <w:iCs w:val="0"/>
                <w:caps w:val="0"/>
                <w:color w:val="222222"/>
                <w:spacing w:val="0"/>
                <w:sz w:val="24"/>
                <w:szCs w:val="24"/>
                <w:lang w:val="en-US" w:eastAsia="zh-CN"/>
              </w:rPr>
              <w:t>参数和数量要求</w:t>
            </w:r>
            <w:r>
              <w:rPr>
                <w:rFonts w:hint="eastAsia" w:ascii="宋体" w:hAnsi="宋体" w:eastAsia="宋体" w:cs="宋体"/>
                <w:i w:val="0"/>
                <w:iCs w:val="0"/>
                <w:caps w:val="0"/>
                <w:color w:val="222222"/>
                <w:spacing w:val="0"/>
                <w:sz w:val="24"/>
                <w:szCs w:val="24"/>
              </w:rPr>
              <w:t>”的响应情况进行评审：完全满足或优于招标要求的得</w:t>
            </w:r>
            <w:r>
              <w:rPr>
                <w:rFonts w:hint="eastAsia" w:ascii="宋体" w:hAnsi="宋体" w:eastAsia="宋体" w:cs="宋体"/>
                <w:i w:val="0"/>
                <w:iCs w:val="0"/>
                <w:caps w:val="0"/>
                <w:color w:val="222222"/>
                <w:spacing w:val="0"/>
                <w:sz w:val="24"/>
                <w:szCs w:val="24"/>
                <w:lang w:val="en-US" w:eastAsia="zh-CN"/>
              </w:rPr>
              <w:t>24</w:t>
            </w:r>
            <w:r>
              <w:rPr>
                <w:rFonts w:hint="eastAsia" w:ascii="宋体" w:hAnsi="宋体" w:eastAsia="宋体" w:cs="宋体"/>
                <w:i w:val="0"/>
                <w:iCs w:val="0"/>
                <w:caps w:val="0"/>
                <w:color w:val="222222"/>
                <w:spacing w:val="0"/>
                <w:sz w:val="24"/>
                <w:szCs w:val="24"/>
              </w:rPr>
              <w:t>分，</w:t>
            </w:r>
            <w:r>
              <w:rPr>
                <w:rFonts w:hint="eastAsia" w:ascii="宋体" w:hAnsi="宋体" w:eastAsia="宋体" w:cs="宋体"/>
                <w:i w:val="0"/>
                <w:iCs w:val="0"/>
                <w:caps w:val="0"/>
                <w:color w:val="222222"/>
                <w:spacing w:val="0"/>
                <w:sz w:val="24"/>
                <w:szCs w:val="24"/>
                <w:highlight w:val="none"/>
              </w:rPr>
              <w:t>若有不满足技术条款要求（共</w:t>
            </w:r>
            <w:r>
              <w:rPr>
                <w:rFonts w:hint="eastAsia" w:ascii="宋体" w:hAnsi="宋体" w:eastAsia="宋体" w:cs="宋体"/>
                <w:i w:val="0"/>
                <w:iCs w:val="0"/>
                <w:caps w:val="0"/>
                <w:color w:val="222222"/>
                <w:spacing w:val="0"/>
                <w:sz w:val="24"/>
                <w:szCs w:val="24"/>
                <w:highlight w:val="none"/>
                <w:lang w:val="en-US" w:eastAsia="zh-CN"/>
              </w:rPr>
              <w:t>16</w:t>
            </w:r>
            <w:r>
              <w:rPr>
                <w:rFonts w:hint="eastAsia" w:ascii="宋体" w:hAnsi="宋体" w:eastAsia="宋体" w:cs="宋体"/>
                <w:i w:val="0"/>
                <w:iCs w:val="0"/>
                <w:caps w:val="0"/>
                <w:color w:val="222222"/>
                <w:spacing w:val="0"/>
                <w:sz w:val="24"/>
                <w:szCs w:val="24"/>
                <w:highlight w:val="none"/>
              </w:rPr>
              <w:t>项）的</w:t>
            </w:r>
            <w:r>
              <w:rPr>
                <w:rFonts w:hint="eastAsia" w:ascii="宋体" w:hAnsi="宋体" w:eastAsia="宋体" w:cs="宋体"/>
                <w:i w:val="0"/>
                <w:iCs w:val="0"/>
                <w:caps w:val="0"/>
                <w:color w:val="222222"/>
                <w:spacing w:val="0"/>
                <w:sz w:val="24"/>
                <w:szCs w:val="24"/>
              </w:rPr>
              <w:t>，每项扣</w:t>
            </w:r>
            <w:r>
              <w:rPr>
                <w:rFonts w:hint="eastAsia" w:ascii="宋体" w:hAnsi="宋体" w:eastAsia="宋体" w:cs="宋体"/>
                <w:i w:val="0"/>
                <w:iCs w:val="0"/>
                <w:caps w:val="0"/>
                <w:color w:val="222222"/>
                <w:spacing w:val="0"/>
                <w:sz w:val="24"/>
                <w:szCs w:val="24"/>
                <w:lang w:val="en-US" w:eastAsia="zh-CN"/>
              </w:rPr>
              <w:t>1.5</w:t>
            </w:r>
            <w:r>
              <w:rPr>
                <w:rFonts w:hint="eastAsia" w:ascii="宋体" w:hAnsi="宋体" w:eastAsia="宋体" w:cs="宋体"/>
                <w:i w:val="0"/>
                <w:iCs w:val="0"/>
                <w:caps w:val="0"/>
                <w:color w:val="222222"/>
                <w:spacing w:val="0"/>
                <w:sz w:val="24"/>
                <w:szCs w:val="24"/>
              </w:rPr>
              <w:t>分，扣完为止。 注：如技术要求中的指标或要求需提供相关证明资料的，</w:t>
            </w:r>
            <w:r>
              <w:rPr>
                <w:rFonts w:hint="eastAsia" w:ascii="宋体" w:hAnsi="宋体" w:eastAsia="宋体" w:cs="宋体"/>
                <w:i w:val="0"/>
                <w:iCs w:val="0"/>
                <w:caps w:val="0"/>
                <w:color w:val="222222"/>
                <w:spacing w:val="0"/>
                <w:sz w:val="24"/>
                <w:szCs w:val="24"/>
                <w:lang w:eastAsia="zh-CN"/>
              </w:rPr>
              <w:t>响应人</w:t>
            </w:r>
            <w:r>
              <w:rPr>
                <w:rFonts w:hint="eastAsia" w:ascii="宋体" w:hAnsi="宋体" w:eastAsia="宋体" w:cs="宋体"/>
                <w:i w:val="0"/>
                <w:iCs w:val="0"/>
                <w:caps w:val="0"/>
                <w:color w:val="222222"/>
                <w:spacing w:val="0"/>
                <w:sz w:val="24"/>
                <w:szCs w:val="24"/>
              </w:rPr>
              <w:t>需在</w:t>
            </w:r>
            <w:r>
              <w:rPr>
                <w:rFonts w:hint="eastAsia" w:ascii="宋体" w:hAnsi="宋体" w:eastAsia="宋体" w:cs="宋体"/>
                <w:i w:val="0"/>
                <w:iCs w:val="0"/>
                <w:caps w:val="0"/>
                <w:color w:val="222222"/>
                <w:spacing w:val="0"/>
                <w:sz w:val="24"/>
                <w:szCs w:val="24"/>
                <w:lang w:eastAsia="zh-CN"/>
              </w:rPr>
              <w:t>响应文件</w:t>
            </w:r>
            <w:r>
              <w:rPr>
                <w:rFonts w:hint="eastAsia" w:ascii="宋体" w:hAnsi="宋体" w:eastAsia="宋体" w:cs="宋体"/>
                <w:i w:val="0"/>
                <w:iCs w:val="0"/>
                <w:caps w:val="0"/>
                <w:color w:val="222222"/>
                <w:spacing w:val="0"/>
                <w:sz w:val="24"/>
                <w:szCs w:val="24"/>
              </w:rPr>
              <w:t>中按要求提供相关证明资料，未响应或未按要求提供证明材料或提供的证明材料无法证明满足采购需求技术参数要求的，均视为不满足该项技术指</w:t>
            </w:r>
            <w:r>
              <w:rPr>
                <w:rFonts w:hint="eastAsia" w:ascii="宋体" w:hAnsi="宋体" w:eastAsia="宋体" w:cs="宋体"/>
                <w:i w:val="0"/>
                <w:iCs w:val="0"/>
                <w:caps w:val="0"/>
                <w:color w:val="222222"/>
                <w:spacing w:val="0"/>
                <w:sz w:val="24"/>
                <w:szCs w:val="24"/>
                <w:highlight w:val="none"/>
              </w:rPr>
              <w:t>标要求。如采购需求中无明确证明材料的，以</w:t>
            </w:r>
            <w:r>
              <w:rPr>
                <w:rFonts w:hint="eastAsia" w:ascii="宋体" w:hAnsi="宋体" w:eastAsia="宋体" w:cs="宋体"/>
                <w:i w:val="0"/>
                <w:iCs w:val="0"/>
                <w:caps w:val="0"/>
                <w:color w:val="222222"/>
                <w:spacing w:val="0"/>
                <w:sz w:val="24"/>
                <w:szCs w:val="24"/>
                <w:highlight w:val="none"/>
                <w:lang w:eastAsia="zh-CN"/>
              </w:rPr>
              <w:t>响应人响应文件</w:t>
            </w:r>
            <w:r>
              <w:rPr>
                <w:rFonts w:hint="eastAsia" w:ascii="宋体" w:hAnsi="宋体" w:eastAsia="宋体" w:cs="宋体"/>
                <w:i w:val="0"/>
                <w:iCs w:val="0"/>
                <w:caps w:val="0"/>
                <w:color w:val="222222"/>
                <w:spacing w:val="0"/>
                <w:sz w:val="24"/>
                <w:szCs w:val="24"/>
                <w:highlight w:val="none"/>
              </w:rPr>
              <w:t>中《技术要求响应表》的响应情况填写内容为准，未填写的或技术条款负偏离的都视为不满足。</w:t>
            </w:r>
          </w:p>
        </w:tc>
      </w:tr>
      <w:tr w14:paraId="006C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51" w:type="dxa"/>
            <w:vMerge w:val="continue"/>
            <w:tcBorders>
              <w:left w:val="single" w:color="auto" w:sz="4" w:space="0"/>
              <w:right w:val="single" w:color="000000" w:sz="4" w:space="0"/>
            </w:tcBorders>
            <w:noWrap/>
            <w:vAlign w:val="center"/>
          </w:tcPr>
          <w:p w14:paraId="10B9B4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7C44A38">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 xml:space="preserve">货物质量保障方案 </w:t>
            </w:r>
          </w:p>
          <w:p w14:paraId="7E756ED9">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10分</w:t>
            </w:r>
          </w:p>
          <w:p w14:paraId="50DFC4D7">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等次分值</w:t>
            </w:r>
          </w:p>
          <w:p w14:paraId="03AF7967">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（0；2；5；10）</w:t>
            </w:r>
          </w:p>
        </w:tc>
        <w:tc>
          <w:tcPr>
            <w:tcW w:w="6816" w:type="dxa"/>
            <w:tcBorders>
              <w:top w:val="single" w:color="000000" w:sz="4" w:space="0"/>
              <w:left w:val="single" w:color="000000" w:sz="4" w:space="0"/>
              <w:right w:val="single" w:color="000000" w:sz="4" w:space="0"/>
            </w:tcBorders>
            <w:noWrap w:val="0"/>
            <w:vAlign w:val="top"/>
          </w:tcPr>
          <w:p w14:paraId="33404789">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针对本项目采购需求所提供的货物质量保障方案（内容包括：①货物制作及生产方案、②货物（含材料）选型、③质量及安全标准、④质量及安全保障措施）进行评审。所提供的货物质量保障方案应具针对性、条理清晰，内容明确具体、合理可行，货物（含材料）选型合理、可靠、耐用。</w:t>
            </w:r>
          </w:p>
          <w:p w14:paraId="706FD922">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 xml:space="preserve">1.货物质量保障方案完全满足且优于采购需求的，得10分； </w:t>
            </w:r>
          </w:p>
          <w:p w14:paraId="09414CAE">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2.货物质量保障方案完全满足采购需求的，得5分；</w:t>
            </w:r>
          </w:p>
          <w:p w14:paraId="54C0185B">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i w:val="0"/>
                <w:iCs w:val="0"/>
                <w:caps w:val="0"/>
                <w:color w:val="222222"/>
                <w:spacing w:val="0"/>
                <w:kern w:val="2"/>
                <w:sz w:val="24"/>
                <w:szCs w:val="24"/>
                <w:lang w:val="en-US" w:eastAsia="zh-CN" w:bidi="ar-SA"/>
              </w:rPr>
            </w:pPr>
            <w:r>
              <w:rPr>
                <w:rFonts w:hint="eastAsia" w:ascii="宋体" w:hAnsi="宋体" w:eastAsia="宋体" w:cs="宋体"/>
                <w:i w:val="0"/>
                <w:iCs w:val="0"/>
                <w:caps w:val="0"/>
                <w:color w:val="222222"/>
                <w:spacing w:val="0"/>
                <w:kern w:val="2"/>
                <w:sz w:val="24"/>
                <w:szCs w:val="24"/>
                <w:lang w:val="en-US" w:eastAsia="zh-CN" w:bidi="ar-SA"/>
              </w:rPr>
              <w:t>3.货物质量保障方案部分满足采购需求的，得2分；</w:t>
            </w:r>
          </w:p>
          <w:p w14:paraId="7B05FC27">
            <w:pPr>
              <w:pStyle w:val="6"/>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i w:val="0"/>
                <w:iCs w:val="0"/>
                <w:caps w:val="0"/>
                <w:color w:val="222222"/>
                <w:spacing w:val="0"/>
                <w:kern w:val="2"/>
                <w:sz w:val="24"/>
                <w:szCs w:val="24"/>
                <w:lang w:val="en-US" w:eastAsia="zh-Hans" w:bidi="ar-SA"/>
              </w:rPr>
            </w:pPr>
            <w:r>
              <w:rPr>
                <w:rFonts w:hint="eastAsia" w:ascii="宋体" w:hAnsi="宋体" w:eastAsia="宋体" w:cs="宋体"/>
                <w:i w:val="0"/>
                <w:iCs w:val="0"/>
                <w:caps w:val="0"/>
                <w:color w:val="222222"/>
                <w:spacing w:val="0"/>
                <w:kern w:val="2"/>
                <w:sz w:val="24"/>
                <w:szCs w:val="24"/>
                <w:lang w:val="en-US" w:eastAsia="zh-CN" w:bidi="ar-SA"/>
              </w:rPr>
              <w:t>4.未提供货物质量保障方案的不得分。</w:t>
            </w:r>
          </w:p>
        </w:tc>
      </w:tr>
      <w:tr w14:paraId="0B9A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51" w:type="dxa"/>
            <w:vMerge w:val="continue"/>
            <w:tcBorders>
              <w:left w:val="single" w:color="auto" w:sz="4" w:space="0"/>
              <w:right w:val="single" w:color="000000" w:sz="4" w:space="0"/>
            </w:tcBorders>
            <w:noWrap/>
            <w:vAlign w:val="center"/>
          </w:tcPr>
          <w:p w14:paraId="00708D2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0A09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项目实施</w:t>
            </w:r>
          </w:p>
          <w:p w14:paraId="6F0DD4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计划</w:t>
            </w:r>
            <w:r>
              <w:rPr>
                <w:rFonts w:hint="eastAsia" w:ascii="宋体" w:hAnsi="宋体" w:eastAsia="宋体" w:cs="宋体"/>
                <w:i w:val="0"/>
                <w:iCs w:val="0"/>
                <w:caps w:val="0"/>
                <w:color w:val="auto"/>
                <w:spacing w:val="0"/>
                <w:kern w:val="0"/>
                <w:sz w:val="24"/>
                <w:szCs w:val="24"/>
                <w:highlight w:val="none"/>
                <w:lang w:val="en-US" w:eastAsia="zh-CN" w:bidi="ar"/>
              </w:rPr>
              <w:t>11分</w:t>
            </w:r>
          </w:p>
          <w:p w14:paraId="7F1F4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sz w:val="24"/>
                <w:szCs w:val="24"/>
                <w:highlight w:val="none"/>
                <w:lang w:val="en-US" w:eastAsia="zh-CN"/>
              </w:rPr>
              <w:t>等次分值</w:t>
            </w:r>
          </w:p>
          <w:p w14:paraId="6AF61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（0；4；7；11）</w:t>
            </w:r>
          </w:p>
          <w:p w14:paraId="7ACD8E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u w:val="none"/>
                <w:lang w:val="en-US" w:eastAsia="zh-CN" w:bidi="ar"/>
              </w:rPr>
            </w:pPr>
          </w:p>
        </w:tc>
        <w:tc>
          <w:tcPr>
            <w:tcW w:w="6816" w:type="dxa"/>
            <w:tcBorders>
              <w:top w:val="single" w:color="000000" w:sz="4" w:space="0"/>
              <w:left w:val="single" w:color="000000" w:sz="4" w:space="0"/>
              <w:right w:val="single" w:color="000000" w:sz="4" w:space="0"/>
            </w:tcBorders>
            <w:noWrap w:val="0"/>
            <w:vAlign w:val="center"/>
          </w:tcPr>
          <w:p w14:paraId="67D1993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aps w:val="0"/>
                <w:color w:val="222222"/>
                <w:spacing w:val="0"/>
                <w:sz w:val="24"/>
                <w:szCs w:val="24"/>
              </w:rPr>
              <w:t>根据</w:t>
            </w:r>
            <w:r>
              <w:rPr>
                <w:rFonts w:hint="eastAsia" w:ascii="宋体" w:hAnsi="宋体" w:eastAsia="宋体" w:cs="宋体"/>
                <w:i w:val="0"/>
                <w:iCs w:val="0"/>
                <w:caps w:val="0"/>
                <w:color w:val="222222"/>
                <w:spacing w:val="0"/>
                <w:sz w:val="24"/>
                <w:szCs w:val="24"/>
                <w:lang w:val="en-US" w:eastAsia="zh-CN"/>
              </w:rPr>
              <w:t>项目实施计划</w:t>
            </w:r>
            <w:r>
              <w:rPr>
                <w:rFonts w:hint="eastAsia" w:ascii="宋体" w:hAnsi="宋体" w:eastAsia="宋体" w:cs="宋体"/>
                <w:i w:val="0"/>
                <w:iCs w:val="0"/>
                <w:caps w:val="0"/>
                <w:color w:val="222222"/>
                <w:spacing w:val="0"/>
                <w:sz w:val="24"/>
                <w:szCs w:val="24"/>
              </w:rPr>
              <w:t>（内容包括：①</w:t>
            </w:r>
            <w:r>
              <w:rPr>
                <w:rFonts w:hint="eastAsia" w:ascii="宋体" w:hAnsi="宋体" w:eastAsia="宋体" w:cs="宋体"/>
                <w:i w:val="0"/>
                <w:iCs w:val="0"/>
                <w:caps w:val="0"/>
                <w:color w:val="222222"/>
                <w:spacing w:val="0"/>
                <w:sz w:val="24"/>
                <w:szCs w:val="24"/>
                <w:lang w:eastAsia="zh-CN"/>
              </w:rPr>
              <w:t>货物</w:t>
            </w:r>
            <w:r>
              <w:rPr>
                <w:rFonts w:hint="eastAsia" w:ascii="宋体" w:hAnsi="宋体" w:eastAsia="宋体" w:cs="宋体"/>
                <w:i w:val="0"/>
                <w:iCs w:val="0"/>
                <w:caps w:val="0"/>
                <w:color w:val="222222"/>
                <w:spacing w:val="0"/>
                <w:sz w:val="24"/>
                <w:szCs w:val="24"/>
              </w:rPr>
              <w:t>安装调试计划；②</w:t>
            </w:r>
            <w:r>
              <w:rPr>
                <w:rFonts w:hint="eastAsia" w:ascii="宋体" w:hAnsi="宋体" w:eastAsia="宋体" w:cs="宋体"/>
                <w:i w:val="0"/>
                <w:iCs w:val="0"/>
                <w:caps w:val="0"/>
                <w:color w:val="222222"/>
                <w:spacing w:val="0"/>
                <w:sz w:val="24"/>
                <w:szCs w:val="24"/>
                <w:lang w:eastAsia="zh-CN"/>
              </w:rPr>
              <w:t>货物</w:t>
            </w:r>
            <w:r>
              <w:rPr>
                <w:rFonts w:hint="eastAsia" w:ascii="宋体" w:hAnsi="宋体" w:eastAsia="宋体" w:cs="宋体"/>
                <w:i w:val="0"/>
                <w:iCs w:val="0"/>
                <w:caps w:val="0"/>
                <w:color w:val="222222"/>
                <w:spacing w:val="0"/>
                <w:sz w:val="24"/>
                <w:szCs w:val="24"/>
              </w:rPr>
              <w:t>安装现场保护措施；③安装调试技术人员安排）是否条理清晰，内容是否明确具体、是否合理可行，是否有利于保障</w:t>
            </w:r>
            <w:r>
              <w:rPr>
                <w:rFonts w:hint="eastAsia" w:ascii="宋体" w:hAnsi="宋体" w:eastAsia="宋体" w:cs="宋体"/>
                <w:i w:val="0"/>
                <w:iCs w:val="0"/>
                <w:caps w:val="0"/>
                <w:color w:val="222222"/>
                <w:spacing w:val="0"/>
                <w:sz w:val="24"/>
                <w:szCs w:val="24"/>
                <w:lang w:eastAsia="zh-CN"/>
              </w:rPr>
              <w:t>货物</w:t>
            </w:r>
            <w:r>
              <w:rPr>
                <w:rFonts w:hint="eastAsia" w:ascii="宋体" w:hAnsi="宋体" w:eastAsia="宋体" w:cs="宋体"/>
                <w:i w:val="0"/>
                <w:iCs w:val="0"/>
                <w:caps w:val="0"/>
                <w:color w:val="222222"/>
                <w:spacing w:val="0"/>
                <w:sz w:val="24"/>
                <w:szCs w:val="24"/>
              </w:rPr>
              <w:t>安装质量及进度要求进行评审： 1、方案内容描述全面且清晰，可行性高，非常有利于保障</w:t>
            </w:r>
            <w:r>
              <w:rPr>
                <w:rFonts w:hint="eastAsia" w:ascii="宋体" w:hAnsi="宋体" w:eastAsia="宋体" w:cs="宋体"/>
                <w:i w:val="0"/>
                <w:iCs w:val="0"/>
                <w:caps w:val="0"/>
                <w:color w:val="222222"/>
                <w:spacing w:val="0"/>
                <w:sz w:val="24"/>
                <w:szCs w:val="24"/>
                <w:lang w:eastAsia="zh-CN"/>
              </w:rPr>
              <w:t>货物</w:t>
            </w:r>
            <w:r>
              <w:rPr>
                <w:rFonts w:hint="eastAsia" w:ascii="宋体" w:hAnsi="宋体" w:eastAsia="宋体" w:cs="宋体"/>
                <w:i w:val="0"/>
                <w:iCs w:val="0"/>
                <w:caps w:val="0"/>
                <w:color w:val="222222"/>
                <w:spacing w:val="0"/>
                <w:sz w:val="24"/>
                <w:szCs w:val="24"/>
              </w:rPr>
              <w:t>安装质量及进度要求，优于采购需求的，得</w:t>
            </w:r>
            <w:r>
              <w:rPr>
                <w:rFonts w:hint="eastAsia" w:ascii="宋体" w:hAnsi="宋体" w:eastAsia="宋体" w:cs="宋体"/>
                <w:i w:val="0"/>
                <w:iCs w:val="0"/>
                <w:caps w:val="0"/>
                <w:color w:val="222222"/>
                <w:spacing w:val="0"/>
                <w:sz w:val="24"/>
                <w:szCs w:val="24"/>
                <w:lang w:val="en-US" w:eastAsia="zh-CN"/>
              </w:rPr>
              <w:t>11</w:t>
            </w:r>
            <w:r>
              <w:rPr>
                <w:rFonts w:hint="eastAsia" w:ascii="宋体" w:hAnsi="宋体" w:eastAsia="宋体" w:cs="宋体"/>
                <w:i w:val="0"/>
                <w:iCs w:val="0"/>
                <w:caps w:val="0"/>
                <w:color w:val="222222"/>
                <w:spacing w:val="0"/>
                <w:sz w:val="24"/>
                <w:szCs w:val="24"/>
              </w:rPr>
              <w:t>分； 2、方案内容描述较具体、清晰，具有一定的可行性，能保障</w:t>
            </w:r>
            <w:r>
              <w:rPr>
                <w:rFonts w:hint="eastAsia" w:ascii="宋体" w:hAnsi="宋体" w:eastAsia="宋体" w:cs="宋体"/>
                <w:i w:val="0"/>
                <w:iCs w:val="0"/>
                <w:caps w:val="0"/>
                <w:color w:val="222222"/>
                <w:spacing w:val="0"/>
                <w:sz w:val="24"/>
                <w:szCs w:val="24"/>
                <w:lang w:eastAsia="zh-CN"/>
              </w:rPr>
              <w:t>货物</w:t>
            </w:r>
            <w:r>
              <w:rPr>
                <w:rFonts w:hint="eastAsia" w:ascii="宋体" w:hAnsi="宋体" w:eastAsia="宋体" w:cs="宋体"/>
                <w:i w:val="0"/>
                <w:iCs w:val="0"/>
                <w:caps w:val="0"/>
                <w:color w:val="222222"/>
                <w:spacing w:val="0"/>
                <w:sz w:val="24"/>
                <w:szCs w:val="24"/>
              </w:rPr>
              <w:t>安装质量及进度要求，完全满足采购需求的，得</w:t>
            </w:r>
            <w:r>
              <w:rPr>
                <w:rFonts w:hint="eastAsia" w:ascii="宋体" w:hAnsi="宋体" w:eastAsia="宋体" w:cs="宋体"/>
                <w:i w:val="0"/>
                <w:iCs w:val="0"/>
                <w:caps w:val="0"/>
                <w:color w:val="222222"/>
                <w:spacing w:val="0"/>
                <w:sz w:val="24"/>
                <w:szCs w:val="24"/>
                <w:lang w:val="en-US" w:eastAsia="zh-CN"/>
              </w:rPr>
              <w:t>7</w:t>
            </w:r>
            <w:r>
              <w:rPr>
                <w:rFonts w:hint="eastAsia" w:ascii="宋体" w:hAnsi="宋体" w:eastAsia="宋体" w:cs="宋体"/>
                <w:i w:val="0"/>
                <w:iCs w:val="0"/>
                <w:caps w:val="0"/>
                <w:color w:val="222222"/>
                <w:spacing w:val="0"/>
                <w:sz w:val="24"/>
                <w:szCs w:val="24"/>
              </w:rPr>
              <w:t>分； 3、方案内容简单笼统，基本可行，部分满足采购需求的，得</w:t>
            </w:r>
            <w:r>
              <w:rPr>
                <w:rFonts w:hint="eastAsia" w:ascii="宋体" w:hAnsi="宋体" w:eastAsia="宋体" w:cs="宋体"/>
                <w:i w:val="0"/>
                <w:iCs w:val="0"/>
                <w:caps w:val="0"/>
                <w:color w:val="222222"/>
                <w:spacing w:val="0"/>
                <w:sz w:val="24"/>
                <w:szCs w:val="24"/>
                <w:lang w:val="en-US" w:eastAsia="zh-CN"/>
              </w:rPr>
              <w:t>4</w:t>
            </w:r>
            <w:r>
              <w:rPr>
                <w:rFonts w:hint="eastAsia" w:ascii="宋体" w:hAnsi="宋体" w:eastAsia="宋体" w:cs="宋体"/>
                <w:i w:val="0"/>
                <w:iCs w:val="0"/>
                <w:caps w:val="0"/>
                <w:color w:val="222222"/>
                <w:spacing w:val="0"/>
                <w:sz w:val="24"/>
                <w:szCs w:val="24"/>
              </w:rPr>
              <w:t>分； 4、未提供方案或方案内容缺漏，可行性欠缺，完全不满足采购需求的，得0分。</w:t>
            </w:r>
          </w:p>
        </w:tc>
      </w:tr>
      <w:tr w14:paraId="59E5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14:paraId="28DF51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价格</w:t>
            </w:r>
          </w:p>
          <w:p w14:paraId="19EAC6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评分</w:t>
            </w:r>
          </w:p>
          <w:p w14:paraId="476C05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30分</w:t>
            </w:r>
          </w:p>
        </w:tc>
        <w:tc>
          <w:tcPr>
            <w:tcW w:w="8332" w:type="dxa"/>
            <w:gridSpan w:val="2"/>
            <w:tcBorders>
              <w:top w:val="single" w:color="auto" w:sz="4" w:space="0"/>
              <w:left w:val="single" w:color="auto" w:sz="4" w:space="0"/>
              <w:bottom w:val="single" w:color="auto" w:sz="4" w:space="0"/>
              <w:right w:val="single" w:color="auto" w:sz="4" w:space="0"/>
            </w:tcBorders>
            <w:noWrap w:val="0"/>
            <w:vAlign w:val="center"/>
          </w:tcPr>
          <w:p w14:paraId="761E89D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Style w:val="7"/>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rPr>
              <w:t>报价得分=（</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基准价/</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r>
      <w:tr w14:paraId="3509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183" w:type="dxa"/>
            <w:gridSpan w:val="3"/>
            <w:tcBorders>
              <w:top w:val="single" w:color="auto" w:sz="4" w:space="0"/>
              <w:left w:val="single" w:color="000000" w:sz="4" w:space="0"/>
              <w:bottom w:val="single" w:color="000000" w:sz="4" w:space="0"/>
              <w:right w:val="single" w:color="000000" w:sz="4" w:space="0"/>
            </w:tcBorders>
            <w:noWrap/>
            <w:vAlign w:val="center"/>
          </w:tcPr>
          <w:p w14:paraId="29502C7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注：满足遴选文件要求且价格最低的为评标基准价。最低报价不是中标的唯一依据。因落实政府采购政策进行价格调整的，以调整后的价格计算评标基准价和投标报价。</w:t>
            </w:r>
          </w:p>
        </w:tc>
      </w:tr>
    </w:tbl>
    <w:p w14:paraId="739710B3">
      <w:pPr>
        <w:rPr>
          <w:rFonts w:hint="eastAsia" w:ascii="宋体" w:hAnsi="宋体" w:eastAsia="宋体" w:cs="宋体"/>
          <w:b/>
          <w:bCs/>
          <w:color w:val="auto"/>
          <w:sz w:val="22"/>
          <w:szCs w:val="28"/>
          <w:lang w:val="en-US" w:eastAsia="zh-CN"/>
        </w:rPr>
      </w:pPr>
    </w:p>
    <w:p w14:paraId="108D0237">
      <w:pPr>
        <w:pStyle w:val="2"/>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一</w:t>
      </w:r>
      <w:r>
        <w:rPr>
          <w:rFonts w:hint="eastAsia" w:hAnsi="宋体"/>
          <w:color w:val="auto"/>
          <w:sz w:val="24"/>
          <w:lang w:eastAsia="zh-CN"/>
        </w:rPr>
        <w:t>）</w:t>
      </w:r>
      <w:r>
        <w:rPr>
          <w:rFonts w:hint="eastAsia" w:hAnsi="宋体"/>
          <w:color w:val="auto"/>
          <w:sz w:val="24"/>
        </w:rPr>
        <w:t>技术评定</w:t>
      </w:r>
    </w:p>
    <w:p w14:paraId="671C9A5E">
      <w:pPr>
        <w:pStyle w:val="2"/>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小组对每个响应人的技术指标响应进行审核和分析；对每个响应人的技术指标响应进行评分，填写《技术评分表》。</w:t>
      </w:r>
    </w:p>
    <w:p w14:paraId="67B8E446">
      <w:pPr>
        <w:pStyle w:val="2"/>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小组成员的评分汇集，汇集后取其算术平均值，为该响应人的技术评定得分。</w:t>
      </w:r>
    </w:p>
    <w:p w14:paraId="3952EADE">
      <w:pPr>
        <w:pStyle w:val="2"/>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二</w:t>
      </w:r>
      <w:r>
        <w:rPr>
          <w:rFonts w:hint="eastAsia" w:hAnsi="宋体"/>
          <w:color w:val="auto"/>
          <w:sz w:val="24"/>
          <w:lang w:eastAsia="zh-CN"/>
        </w:rPr>
        <w:t>）</w:t>
      </w:r>
      <w:r>
        <w:rPr>
          <w:rFonts w:hint="eastAsia" w:hAnsi="宋体"/>
          <w:color w:val="auto"/>
          <w:sz w:val="24"/>
        </w:rPr>
        <w:t>商务评定</w:t>
      </w:r>
    </w:p>
    <w:p w14:paraId="26614EAA">
      <w:pPr>
        <w:pStyle w:val="2"/>
        <w:spacing w:line="480" w:lineRule="exact"/>
        <w:ind w:firstLine="480" w:firstLineChars="200"/>
        <w:rPr>
          <w:rFonts w:hint="eastAsia" w:hAnsi="宋体"/>
          <w:color w:val="auto"/>
          <w:sz w:val="24"/>
        </w:rPr>
      </w:pPr>
      <w:r>
        <w:rPr>
          <w:rFonts w:hint="eastAsia" w:hAnsi="宋体"/>
          <w:color w:val="auto"/>
          <w:sz w:val="24"/>
        </w:rPr>
        <w:t>（1）由</w:t>
      </w:r>
      <w:r>
        <w:rPr>
          <w:rFonts w:hint="eastAsia" w:hAnsi="宋体"/>
          <w:color w:val="auto"/>
          <w:sz w:val="24"/>
          <w:lang w:val="en-US" w:eastAsia="zh-CN"/>
        </w:rPr>
        <w:t>评审</w:t>
      </w:r>
      <w:r>
        <w:rPr>
          <w:rFonts w:hint="eastAsia" w:hAnsi="宋体"/>
          <w:color w:val="auto"/>
          <w:sz w:val="24"/>
        </w:rPr>
        <w:t>小组对每个响应人的商务指标响应进行审核和分析；对每个响应人的商务指标响应进行评分，填写《商务评分表》。</w:t>
      </w:r>
    </w:p>
    <w:p w14:paraId="3DEFA757">
      <w:pPr>
        <w:pStyle w:val="2"/>
        <w:spacing w:line="480" w:lineRule="exact"/>
        <w:ind w:firstLine="480" w:firstLineChars="200"/>
        <w:rPr>
          <w:rFonts w:hint="eastAsia" w:hAnsi="宋体"/>
          <w:color w:val="auto"/>
          <w:sz w:val="24"/>
        </w:rPr>
      </w:pPr>
      <w:r>
        <w:rPr>
          <w:rFonts w:hint="eastAsia" w:hAnsi="宋体"/>
          <w:color w:val="auto"/>
          <w:sz w:val="24"/>
        </w:rPr>
        <w:t>（2）将每一个</w:t>
      </w:r>
      <w:r>
        <w:rPr>
          <w:rFonts w:hint="eastAsia" w:hAnsi="宋体"/>
          <w:color w:val="auto"/>
          <w:sz w:val="24"/>
          <w:lang w:val="en-US" w:eastAsia="zh-CN"/>
        </w:rPr>
        <w:t>评审</w:t>
      </w:r>
      <w:r>
        <w:rPr>
          <w:rFonts w:hint="eastAsia" w:hAnsi="宋体"/>
          <w:color w:val="auto"/>
          <w:sz w:val="24"/>
        </w:rPr>
        <w:t>小组成员的评分汇集，汇集后取其算术平均值，为该响应人的商务评定得分。</w:t>
      </w:r>
    </w:p>
    <w:p w14:paraId="26E5DBD8">
      <w:pPr>
        <w:pStyle w:val="2"/>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三</w:t>
      </w:r>
      <w:r>
        <w:rPr>
          <w:rFonts w:hint="eastAsia" w:hAnsi="宋体"/>
          <w:color w:val="auto"/>
          <w:sz w:val="24"/>
          <w:lang w:eastAsia="zh-CN"/>
        </w:rPr>
        <w:t>）</w:t>
      </w:r>
      <w:r>
        <w:rPr>
          <w:rFonts w:hint="eastAsia" w:hAnsi="宋体"/>
          <w:color w:val="auto"/>
          <w:sz w:val="24"/>
        </w:rPr>
        <w:t>价格评定</w:t>
      </w:r>
    </w:p>
    <w:p w14:paraId="06E54D71">
      <w:pPr>
        <w:pStyle w:val="2"/>
        <w:spacing w:line="480" w:lineRule="exact"/>
        <w:ind w:firstLine="480" w:firstLineChars="200"/>
        <w:rPr>
          <w:rFonts w:hint="eastAsia" w:hAnsi="宋体"/>
          <w:color w:val="auto"/>
          <w:sz w:val="24"/>
        </w:rPr>
      </w:pPr>
      <w:r>
        <w:rPr>
          <w:rFonts w:hint="eastAsia" w:hAnsi="宋体"/>
          <w:color w:val="auto"/>
          <w:sz w:val="24"/>
        </w:rPr>
        <w:t>（1）价格核准：响应文件报价出现前后不一致的，按照下列规定修正：</w:t>
      </w:r>
    </w:p>
    <w:p w14:paraId="31CCBD47">
      <w:pPr>
        <w:pStyle w:val="2"/>
        <w:spacing w:line="480" w:lineRule="exact"/>
        <w:ind w:firstLine="480" w:firstLineChars="200"/>
        <w:rPr>
          <w:rFonts w:hint="eastAsia" w:hAnsi="宋体"/>
          <w:color w:val="auto"/>
          <w:sz w:val="24"/>
        </w:rPr>
      </w:pPr>
      <w:r>
        <w:rPr>
          <w:rFonts w:hint="eastAsia" w:hAnsi="宋体"/>
          <w:color w:val="auto"/>
          <w:sz w:val="24"/>
        </w:rPr>
        <w:t>a）响应文件中报价一览表（报价表）内容与响应文件中相应内容不一致的，以报价一览表（报价表）为准；</w:t>
      </w:r>
    </w:p>
    <w:p w14:paraId="66D8C45C">
      <w:pPr>
        <w:pStyle w:val="2"/>
        <w:spacing w:line="480" w:lineRule="exact"/>
        <w:ind w:firstLine="480" w:firstLineChars="200"/>
        <w:rPr>
          <w:rFonts w:hint="eastAsia" w:hAnsi="宋体"/>
          <w:color w:val="auto"/>
          <w:sz w:val="24"/>
        </w:rPr>
      </w:pPr>
      <w:r>
        <w:rPr>
          <w:rFonts w:hint="eastAsia" w:hAnsi="宋体"/>
          <w:color w:val="auto"/>
          <w:sz w:val="24"/>
        </w:rPr>
        <w:t>b）大写金额和小写金额不一致的，以大写金额为准；</w:t>
      </w:r>
    </w:p>
    <w:p w14:paraId="1B849DC3">
      <w:pPr>
        <w:pStyle w:val="2"/>
        <w:spacing w:line="480" w:lineRule="exact"/>
        <w:ind w:firstLine="480" w:firstLineChars="200"/>
        <w:rPr>
          <w:rFonts w:hint="eastAsia" w:hAnsi="宋体"/>
          <w:color w:val="auto"/>
          <w:sz w:val="24"/>
        </w:rPr>
      </w:pPr>
      <w:r>
        <w:rPr>
          <w:rFonts w:hint="eastAsia" w:hAnsi="宋体"/>
          <w:color w:val="auto"/>
          <w:sz w:val="24"/>
        </w:rPr>
        <w:t>c）单价金额小数点或者百分比有明显错位的，以报价一览表的总价为准，并修改单价；</w:t>
      </w:r>
    </w:p>
    <w:p w14:paraId="4153C447">
      <w:pPr>
        <w:pStyle w:val="2"/>
        <w:spacing w:line="480" w:lineRule="exact"/>
        <w:ind w:firstLine="480" w:firstLineChars="200"/>
        <w:rPr>
          <w:rFonts w:hint="eastAsia" w:hAnsi="宋体"/>
          <w:color w:val="auto"/>
          <w:sz w:val="24"/>
        </w:rPr>
      </w:pPr>
      <w:r>
        <w:rPr>
          <w:rFonts w:hint="eastAsia" w:hAnsi="宋体"/>
          <w:color w:val="auto"/>
          <w:sz w:val="24"/>
        </w:rPr>
        <w:t>d）总价金额与按单价汇总金额不一致的，以单价金额计算结果为准。</w:t>
      </w:r>
    </w:p>
    <w:p w14:paraId="386B44F9">
      <w:pPr>
        <w:pStyle w:val="2"/>
        <w:spacing w:line="480" w:lineRule="exact"/>
        <w:ind w:firstLine="480" w:firstLineChars="200"/>
        <w:rPr>
          <w:rFonts w:hint="eastAsia" w:hAnsi="宋体"/>
          <w:color w:val="auto"/>
          <w:sz w:val="24"/>
        </w:rPr>
      </w:pPr>
      <w:r>
        <w:rPr>
          <w:rFonts w:hAnsi="宋体"/>
          <w:color w:val="auto"/>
          <w:sz w:val="24"/>
        </w:rPr>
        <w:t>同时出现两种以上不一致的，按照前款规定的顺序修正。</w:t>
      </w:r>
      <w:r>
        <w:rPr>
          <w:rFonts w:hint="eastAsia" w:hAnsi="宋体"/>
          <w:color w:val="auto"/>
          <w:sz w:val="24"/>
        </w:rPr>
        <w:t>响应</w:t>
      </w:r>
      <w:r>
        <w:rPr>
          <w:rFonts w:hAnsi="宋体"/>
          <w:color w:val="auto"/>
          <w:sz w:val="24"/>
        </w:rPr>
        <w:t>人的修正应当采用书面形式，并加盖</w:t>
      </w:r>
      <w:r>
        <w:rPr>
          <w:rFonts w:hint="eastAsia" w:hAnsi="宋体"/>
          <w:color w:val="auto"/>
          <w:sz w:val="24"/>
        </w:rPr>
        <w:t>响应人</w:t>
      </w:r>
      <w:r>
        <w:rPr>
          <w:rFonts w:hAnsi="宋体"/>
          <w:color w:val="auto"/>
          <w:sz w:val="24"/>
        </w:rPr>
        <w:t>公章</w:t>
      </w:r>
      <w:r>
        <w:rPr>
          <w:rFonts w:hint="eastAsia" w:hAnsi="宋体"/>
          <w:color w:val="auto"/>
          <w:sz w:val="24"/>
        </w:rPr>
        <w:t>，或者</w:t>
      </w:r>
      <w:r>
        <w:rPr>
          <w:rFonts w:hAnsi="宋体"/>
          <w:color w:val="auto"/>
          <w:sz w:val="24"/>
        </w:rPr>
        <w:t>由</w:t>
      </w:r>
      <w:r>
        <w:rPr>
          <w:rFonts w:hint="eastAsia" w:hAnsi="宋体"/>
          <w:color w:val="auto"/>
          <w:sz w:val="24"/>
        </w:rPr>
        <w:t>法定代表人/负责人</w:t>
      </w:r>
      <w:r>
        <w:rPr>
          <w:rFonts w:hint="eastAsia" w:hAnsi="宋体"/>
          <w:bCs/>
          <w:color w:val="auto"/>
          <w:sz w:val="24"/>
          <w:szCs w:val="24"/>
        </w:rPr>
        <w:t>或委托代理人</w:t>
      </w:r>
      <w:r>
        <w:rPr>
          <w:rFonts w:hAnsi="宋体"/>
          <w:color w:val="auto"/>
          <w:sz w:val="24"/>
        </w:rPr>
        <w:t>签字。</w:t>
      </w:r>
      <w:r>
        <w:rPr>
          <w:rFonts w:hint="eastAsia" w:hAnsi="宋体"/>
          <w:color w:val="auto"/>
          <w:sz w:val="24"/>
        </w:rPr>
        <w:t>响应</w:t>
      </w:r>
      <w:r>
        <w:rPr>
          <w:rFonts w:hAnsi="宋体"/>
          <w:color w:val="auto"/>
          <w:sz w:val="24"/>
        </w:rPr>
        <w:t>人的澄清、说明或者补正不得超出</w:t>
      </w:r>
      <w:r>
        <w:rPr>
          <w:rFonts w:hint="eastAsia" w:hAnsi="宋体"/>
          <w:color w:val="auto"/>
          <w:sz w:val="24"/>
        </w:rPr>
        <w:t>响应</w:t>
      </w:r>
      <w:r>
        <w:rPr>
          <w:rFonts w:hAnsi="宋体"/>
          <w:color w:val="auto"/>
          <w:sz w:val="24"/>
        </w:rPr>
        <w:t>文件的范围或者改变</w:t>
      </w:r>
      <w:r>
        <w:rPr>
          <w:rFonts w:hint="eastAsia" w:hAnsi="宋体"/>
          <w:color w:val="auto"/>
          <w:sz w:val="24"/>
        </w:rPr>
        <w:t>响应</w:t>
      </w:r>
      <w:r>
        <w:rPr>
          <w:rFonts w:hAnsi="宋体"/>
          <w:color w:val="auto"/>
          <w:sz w:val="24"/>
        </w:rPr>
        <w:t>文件的实质性内容。修正后的报价经</w:t>
      </w:r>
      <w:r>
        <w:rPr>
          <w:rFonts w:hint="eastAsia" w:hAnsi="宋体"/>
          <w:color w:val="auto"/>
          <w:sz w:val="24"/>
        </w:rPr>
        <w:t>响应</w:t>
      </w:r>
      <w:r>
        <w:rPr>
          <w:rFonts w:hAnsi="宋体"/>
          <w:color w:val="auto"/>
          <w:sz w:val="24"/>
        </w:rPr>
        <w:t>人确认后产生约束力，</w:t>
      </w:r>
      <w:r>
        <w:rPr>
          <w:rFonts w:hint="eastAsia" w:hAnsi="宋体"/>
          <w:color w:val="auto"/>
          <w:sz w:val="24"/>
        </w:rPr>
        <w:t>响应</w:t>
      </w:r>
      <w:r>
        <w:rPr>
          <w:rFonts w:hAnsi="宋体"/>
          <w:color w:val="auto"/>
          <w:sz w:val="24"/>
        </w:rPr>
        <w:t>人不确认的，其</w:t>
      </w:r>
      <w:r>
        <w:rPr>
          <w:rFonts w:hint="eastAsia" w:hAnsi="宋体"/>
          <w:color w:val="auto"/>
          <w:sz w:val="24"/>
        </w:rPr>
        <w:t>响应</w:t>
      </w:r>
      <w:r>
        <w:rPr>
          <w:rFonts w:hAnsi="宋体"/>
          <w:color w:val="auto"/>
          <w:sz w:val="24"/>
        </w:rPr>
        <w:t>无效。</w:t>
      </w:r>
    </w:p>
    <w:p w14:paraId="61E00512">
      <w:pPr>
        <w:pStyle w:val="2"/>
        <w:spacing w:line="480" w:lineRule="exact"/>
        <w:ind w:firstLine="480" w:firstLineChars="200"/>
        <w:rPr>
          <w:rFonts w:hint="eastAsia" w:hAnsi="宋体"/>
          <w:color w:val="auto"/>
          <w:sz w:val="24"/>
          <w:szCs w:val="24"/>
        </w:rPr>
      </w:pPr>
      <w:r>
        <w:rPr>
          <w:rFonts w:hint="eastAsia" w:hAnsi="宋体"/>
          <w:color w:val="auto"/>
          <w:sz w:val="24"/>
          <w:szCs w:val="24"/>
        </w:rPr>
        <w:t>（2）价格评分：取满足</w:t>
      </w:r>
      <w:r>
        <w:rPr>
          <w:rFonts w:hint="eastAsia" w:hAnsi="宋体"/>
          <w:color w:val="auto"/>
          <w:sz w:val="24"/>
          <w:szCs w:val="24"/>
          <w:lang w:val="en-US" w:eastAsia="zh-CN"/>
        </w:rPr>
        <w:t>遴选</w:t>
      </w:r>
      <w:r>
        <w:rPr>
          <w:rFonts w:hint="eastAsia" w:hAnsi="宋体"/>
          <w:color w:val="auto"/>
          <w:sz w:val="24"/>
          <w:szCs w:val="24"/>
        </w:rPr>
        <w:t>文件要求且</w:t>
      </w:r>
      <w:r>
        <w:rPr>
          <w:rFonts w:hint="eastAsia" w:hAnsi="宋体"/>
          <w:color w:val="auto"/>
          <w:sz w:val="24"/>
        </w:rPr>
        <w:t>最低报价</w:t>
      </w:r>
      <w:r>
        <w:rPr>
          <w:rFonts w:hint="eastAsia" w:hAnsi="宋体"/>
          <w:color w:val="auto"/>
          <w:sz w:val="24"/>
          <w:szCs w:val="24"/>
        </w:rPr>
        <w:t>作为</w:t>
      </w:r>
      <w:r>
        <w:rPr>
          <w:rFonts w:hint="eastAsia" w:hAnsi="宋体"/>
          <w:color w:val="auto"/>
          <w:sz w:val="24"/>
        </w:rPr>
        <w:t>基准价</w:t>
      </w:r>
      <w:r>
        <w:rPr>
          <w:rFonts w:hint="eastAsia" w:hAnsi="宋体"/>
          <w:color w:val="auto"/>
          <w:sz w:val="24"/>
          <w:szCs w:val="24"/>
        </w:rPr>
        <w:t>，</w:t>
      </w:r>
      <w:r>
        <w:rPr>
          <w:rFonts w:hint="eastAsia" w:hAnsi="宋体"/>
          <w:color w:val="auto"/>
          <w:sz w:val="24"/>
        </w:rPr>
        <w:t>定基准价</w:t>
      </w:r>
      <w:r>
        <w:rPr>
          <w:rFonts w:hint="eastAsia" w:hAnsi="宋体"/>
          <w:color w:val="auto"/>
          <w:sz w:val="24"/>
          <w:szCs w:val="24"/>
        </w:rPr>
        <w:t>的价格评分为</w:t>
      </w:r>
      <w:r>
        <w:rPr>
          <w:rFonts w:hint="eastAsia" w:hAnsi="宋体"/>
          <w:color w:val="auto"/>
          <w:sz w:val="24"/>
          <w:szCs w:val="24"/>
          <w:lang w:val="en-US" w:eastAsia="zh-CN"/>
        </w:rPr>
        <w:t>30</w:t>
      </w:r>
      <w:r>
        <w:rPr>
          <w:rFonts w:hint="eastAsia" w:hAnsi="宋体"/>
          <w:color w:val="auto"/>
          <w:sz w:val="24"/>
          <w:szCs w:val="24"/>
        </w:rPr>
        <w:t>分。其他响应人的价格分按照下列公式计算：</w:t>
      </w:r>
    </w:p>
    <w:p w14:paraId="4B9680A6">
      <w:pPr>
        <w:pStyle w:val="2"/>
        <w:spacing w:line="480" w:lineRule="exact"/>
        <w:ind w:firstLine="480" w:firstLineChars="200"/>
        <w:rPr>
          <w:rFonts w:hint="eastAsia" w:hAnsi="宋体"/>
          <w:color w:val="auto"/>
          <w:sz w:val="24"/>
          <w:szCs w:val="24"/>
        </w:rPr>
      </w:pPr>
      <w:r>
        <w:rPr>
          <w:rFonts w:hint="eastAsia" w:hAnsi="宋体"/>
          <w:color w:val="auto"/>
          <w:sz w:val="24"/>
          <w:szCs w:val="24"/>
        </w:rPr>
        <w:t>报价得分＝（基准价/</w:t>
      </w:r>
      <w:r>
        <w:rPr>
          <w:rFonts w:hint="eastAsia" w:hAnsi="宋体"/>
          <w:color w:val="auto"/>
          <w:sz w:val="24"/>
          <w:szCs w:val="24"/>
          <w:lang w:val="en-US" w:eastAsia="zh-CN"/>
        </w:rPr>
        <w:t>有效</w:t>
      </w:r>
      <w:r>
        <w:rPr>
          <w:rFonts w:hint="eastAsia" w:hAnsi="宋体"/>
          <w:color w:val="auto"/>
          <w:sz w:val="24"/>
          <w:szCs w:val="24"/>
        </w:rPr>
        <w:t>报价）×</w:t>
      </w:r>
      <w:r>
        <w:rPr>
          <w:rFonts w:hint="eastAsia" w:hAnsi="宋体"/>
          <w:color w:val="auto"/>
          <w:sz w:val="24"/>
          <w:szCs w:val="24"/>
          <w:lang w:val="en-US" w:eastAsia="zh-CN"/>
        </w:rPr>
        <w:t>30</w:t>
      </w:r>
      <w:r>
        <w:rPr>
          <w:rFonts w:hint="eastAsia" w:hAnsi="宋体"/>
          <w:color w:val="auto"/>
          <w:sz w:val="24"/>
          <w:szCs w:val="24"/>
        </w:rPr>
        <w:t>。</w:t>
      </w:r>
    </w:p>
    <w:p w14:paraId="614D8F4D">
      <w:pPr>
        <w:pStyle w:val="2"/>
        <w:spacing w:line="480" w:lineRule="exact"/>
        <w:ind w:firstLine="360" w:firstLineChars="150"/>
        <w:rPr>
          <w:rFonts w:hint="eastAsia" w:hAnsi="宋体"/>
          <w:color w:val="auto"/>
          <w:sz w:val="24"/>
        </w:rPr>
      </w:pPr>
      <w:r>
        <w:rPr>
          <w:rFonts w:hint="eastAsia" w:hAnsi="宋体"/>
          <w:color w:val="auto"/>
          <w:sz w:val="24"/>
          <w:szCs w:val="24"/>
        </w:rPr>
        <w:t>（3）价格评定得分=报价得分。</w:t>
      </w:r>
    </w:p>
    <w:p w14:paraId="09A15BBF">
      <w:pPr>
        <w:pStyle w:val="2"/>
        <w:numPr>
          <w:ilvl w:val="0"/>
          <w:numId w:val="0"/>
        </w:numPr>
        <w:tabs>
          <w:tab w:val="left" w:pos="945"/>
        </w:tabs>
        <w:spacing w:line="480" w:lineRule="exact"/>
        <w:ind w:leftChars="200"/>
        <w:rPr>
          <w:rFonts w:hint="eastAsia" w:hAnsi="宋体"/>
          <w:color w:val="auto"/>
          <w:sz w:val="24"/>
        </w:rPr>
      </w:pPr>
      <w:r>
        <w:rPr>
          <w:rFonts w:hint="eastAsia" w:hAnsi="宋体"/>
          <w:color w:val="auto"/>
          <w:sz w:val="24"/>
          <w:lang w:eastAsia="zh-CN"/>
        </w:rPr>
        <w:t>（</w:t>
      </w:r>
      <w:r>
        <w:rPr>
          <w:rFonts w:hint="eastAsia" w:hAnsi="宋体"/>
          <w:color w:val="auto"/>
          <w:sz w:val="24"/>
          <w:lang w:val="en-US" w:eastAsia="zh-CN"/>
        </w:rPr>
        <w:t>四</w:t>
      </w:r>
      <w:r>
        <w:rPr>
          <w:rFonts w:hint="eastAsia" w:hAnsi="宋体"/>
          <w:color w:val="auto"/>
          <w:sz w:val="24"/>
          <w:lang w:eastAsia="zh-CN"/>
        </w:rPr>
        <w:t>）</w:t>
      </w:r>
      <w:r>
        <w:rPr>
          <w:rFonts w:hint="eastAsia" w:hAnsi="宋体"/>
          <w:color w:val="auto"/>
          <w:sz w:val="24"/>
        </w:rPr>
        <w:t>综合评估分的计算</w:t>
      </w:r>
    </w:p>
    <w:p w14:paraId="091C3592">
      <w:pPr>
        <w:pStyle w:val="2"/>
        <w:spacing w:line="480" w:lineRule="exact"/>
        <w:ind w:firstLine="360" w:firstLineChars="150"/>
        <w:rPr>
          <w:rFonts w:hint="eastAsia" w:hAnsi="宋体"/>
          <w:color w:val="auto"/>
          <w:sz w:val="24"/>
          <w:szCs w:val="24"/>
        </w:rPr>
      </w:pPr>
      <w:r>
        <w:rPr>
          <w:rFonts w:hint="eastAsia" w:hAnsi="宋体"/>
          <w:color w:val="auto"/>
          <w:sz w:val="24"/>
          <w:szCs w:val="24"/>
        </w:rPr>
        <w:t>（1）综合评估分=技术评定得分+商务评定得分+价格评定得分；</w:t>
      </w:r>
    </w:p>
    <w:p w14:paraId="45F95F2B">
      <w:pPr>
        <w:pStyle w:val="2"/>
        <w:spacing w:line="480" w:lineRule="exact"/>
        <w:ind w:firstLine="360" w:firstLineChars="150"/>
        <w:rPr>
          <w:rFonts w:hint="eastAsia" w:hAnsi="宋体"/>
          <w:color w:val="auto"/>
          <w:sz w:val="24"/>
          <w:szCs w:val="24"/>
        </w:rPr>
      </w:pPr>
      <w:r>
        <w:rPr>
          <w:rFonts w:hint="eastAsia" w:hAnsi="宋体"/>
          <w:color w:val="auto"/>
          <w:sz w:val="24"/>
          <w:szCs w:val="24"/>
        </w:rPr>
        <w:t>（2）</w:t>
      </w:r>
      <w:r>
        <w:rPr>
          <w:rFonts w:hint="eastAsia" w:hAnsi="宋体"/>
          <w:color w:val="auto"/>
          <w:sz w:val="24"/>
        </w:rPr>
        <w:t>在评审过程中所有计算结果均精确到小数点后两位，第三位小数四舍五入</w:t>
      </w:r>
      <w:r>
        <w:rPr>
          <w:rFonts w:hint="eastAsia" w:hAnsi="宋体"/>
          <w:color w:val="auto"/>
          <w:sz w:val="24"/>
          <w:szCs w:val="24"/>
        </w:rPr>
        <w:t>；</w:t>
      </w:r>
    </w:p>
    <w:p w14:paraId="7C833732">
      <w:pPr>
        <w:pStyle w:val="2"/>
        <w:spacing w:line="480" w:lineRule="exact"/>
        <w:ind w:firstLine="360" w:firstLineChars="150"/>
        <w:rPr>
          <w:rFonts w:hint="eastAsia" w:hAnsi="宋体"/>
          <w:color w:val="auto"/>
          <w:sz w:val="24"/>
          <w:szCs w:val="24"/>
        </w:rPr>
      </w:pPr>
      <w:r>
        <w:rPr>
          <w:rFonts w:hint="eastAsia" w:hAnsi="宋体"/>
          <w:color w:val="auto"/>
          <w:sz w:val="24"/>
          <w:szCs w:val="24"/>
        </w:rPr>
        <w:t>（3）</w:t>
      </w:r>
      <w:r>
        <w:rPr>
          <w:rFonts w:hint="eastAsia" w:hAnsi="宋体"/>
          <w:color w:val="auto"/>
          <w:sz w:val="24"/>
        </w:rPr>
        <w:t>将综合评估分从高到低排出名次，总分第一名为第一成交候选供应商，第二名为第二成交候选供应商，以此类推（综合评估分相同的，按报价由低到高顺序排列。综合评估分且报价相同的，按技术指标优劣顺序排列）</w:t>
      </w:r>
      <w:r>
        <w:rPr>
          <w:rFonts w:hint="eastAsia" w:hAnsi="宋体"/>
          <w:color w:val="auto"/>
          <w:sz w:val="24"/>
          <w:szCs w:val="24"/>
        </w:rPr>
        <w:t>。</w:t>
      </w:r>
      <w:r>
        <w:rPr>
          <w:rFonts w:hint="eastAsia" w:hAnsi="宋体"/>
          <w:color w:val="auto"/>
          <w:sz w:val="24"/>
          <w:lang w:val="en-US" w:eastAsia="zh-CN"/>
        </w:rPr>
        <w:t>评审</w:t>
      </w:r>
      <w:r>
        <w:rPr>
          <w:rFonts w:hint="eastAsia" w:hAnsi="宋体" w:cs="宋体"/>
          <w:b/>
          <w:color w:val="auto"/>
          <w:sz w:val="24"/>
        </w:rPr>
        <w:t>小组根据评审情况推荐成交候选供应商，开平市中心医院从成交候选供应商名单中确定</w:t>
      </w:r>
      <w:bookmarkStart w:id="0" w:name="_Hlk18301305"/>
      <w:r>
        <w:rPr>
          <w:rFonts w:hint="eastAsia" w:hAnsi="宋体" w:cs="宋体"/>
          <w:b/>
          <w:color w:val="auto"/>
          <w:sz w:val="24"/>
          <w:u w:val="single"/>
        </w:rPr>
        <w:t>1家</w:t>
      </w:r>
      <w:bookmarkEnd w:id="0"/>
      <w:r>
        <w:rPr>
          <w:rFonts w:hint="eastAsia" w:hAnsi="宋体" w:cs="宋体"/>
          <w:b/>
          <w:color w:val="auto"/>
          <w:sz w:val="24"/>
        </w:rPr>
        <w:t>成交供应</w:t>
      </w:r>
      <w:r>
        <w:rPr>
          <w:rFonts w:hint="eastAsia" w:hAnsi="宋体" w:cs="宋体"/>
          <w:b/>
          <w:color w:val="auto"/>
          <w:sz w:val="24"/>
          <w:szCs w:val="22"/>
        </w:rPr>
        <w:t>商。</w:t>
      </w:r>
    </w:p>
    <w:p w14:paraId="1638A1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27128"/>
    <w:rsid w:val="77A2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character" w:customStyle="1" w:styleId="5">
    <w:name w:val="font51"/>
    <w:basedOn w:val="4"/>
    <w:qFormat/>
    <w:uiPriority w:val="0"/>
    <w:rPr>
      <w:rFonts w:hint="eastAsia" w:ascii="宋体" w:hAnsi="宋体" w:eastAsia="宋体" w:cs="宋体"/>
      <w:color w:val="FF0000"/>
      <w:sz w:val="21"/>
      <w:szCs w:val="21"/>
      <w:u w:val="none"/>
    </w:rPr>
  </w:style>
  <w:style w:type="paragraph" w:customStyle="1" w:styleId="6">
    <w:name w:val="null3"/>
    <w:qFormat/>
    <w:uiPriority w:val="0"/>
    <w:rPr>
      <w:rFonts w:hint="eastAsia" w:ascii="Calibri" w:hAnsi="Calibri" w:eastAsia="宋体" w:cs="Times New Roman"/>
      <w:lang w:val="en-US" w:eastAsia="zh-Hans"/>
    </w:rPr>
  </w:style>
  <w:style w:type="character" w:customStyle="1" w:styleId="7">
    <w:name w:val="font6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2025-06-19T02:07:00Z</dcterms:created>
  <dc:creator>氼迗  </dc:creator>
  <cp:lastModifiedBy>氼迗  </cp:lastModifiedBy>
  <dcterms:modified xsi:type="dcterms:W3CDTF">2025-06-19T02:08:17Z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C536498F6755428EAE27C4F52B4D75DE_11</vt:lpwstr>
  </property>
  <property fmtid="{D5CDD505-2E9C-101B-9397-08002B2CF9AE}" pid="4" name="KSOTemplateDocerSaveRecord">
    <vt:lpwstr>eyJoZGlkIjoiZDUxNWNjMTVhZmQ1NDYzNDYyZmQxZDczNGYxNmJkYmQiLCJ1c2VySWQiOiIyODQ4OTIwNjYifQ==</vt:lpwstr>
  </property>
</Properties>
</file>