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DE1D"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病人监护系统技术要求</w:t>
      </w:r>
    </w:p>
    <w:p w14:paraId="1EBA617A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一体化便携监护仪，整机无风扇设计。</w:t>
      </w:r>
    </w:p>
    <w:p w14:paraId="0537C03D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≥12.1英寸彩色液晶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电容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触摸屏，分辨率≥1280*800像素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sz w:val="24"/>
        </w:rPr>
        <w:t>屏幕倾斜10~15度设计</w:t>
      </w:r>
      <w:r>
        <w:rPr>
          <w:rFonts w:hint="eastAsia" w:ascii="宋体" w:hAnsi="宋体"/>
          <w:b w:val="0"/>
          <w:bCs w:val="0"/>
          <w:sz w:val="24"/>
          <w:lang w:eastAsia="zh-CN"/>
        </w:rPr>
        <w:t>。</w:t>
      </w:r>
    </w:p>
    <w:p w14:paraId="1D61C602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3/5导心电，呼吸，无创血压，血氧饱和度，脉搏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双通道体温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46D6D07A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心电监护支持心率，ST段测量，心律失常分析，QT/QTc连续实时测量和对应报警功能，。</w:t>
      </w:r>
    </w:p>
    <w:p w14:paraId="25AC973E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支持室上性心动过速和SVCs/min等室上性心律失常分析</w:t>
      </w:r>
    </w:p>
    <w:p w14:paraId="6CAB9355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提供SpO2,PR和PI参数的实时监测，适用于成人，小儿和新生儿。</w:t>
      </w:r>
    </w:p>
    <w:p w14:paraId="51862C6F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>支持指套式血氧探头，IPX7防水等级，支持液体浸泡消毒和清洁。</w:t>
      </w:r>
    </w:p>
    <w:p w14:paraId="550DE1E1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无创血压测量，适用于成人，小儿和新生儿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成人病人类型收缩压测量：25～290mmHg</w:t>
      </w:r>
    </w:p>
    <w:p w14:paraId="5995EA96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无创血压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提供手动，自动，连续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序列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和整点5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种测量模式。</w:t>
      </w:r>
    </w:p>
    <w:p w14:paraId="7220BAEC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支持所有监测参数报警限一键自动设置功能，满足医护团队快速管理患者报警需求，产品用户手册提供报警限自动设置规则。</w:t>
      </w:r>
    </w:p>
    <w:p w14:paraId="2F861BD8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具有图形化技术报警指示功能，帮助医护团队快速识别报警来源。</w:t>
      </w:r>
    </w:p>
    <w:p w14:paraId="0A8BBE84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支持≥120小时趋势图和趋势表回顾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≥1000条事件回顾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每条报警事件至少能够存储32秒三道相关波形，以及报警触发时所有测量参数值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≥1000组NIBP测量结果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≥120小时（分辨率1分钟）ST模板存储与回顾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支持48小时全息波形的存储与回顾功能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4D4A984B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</w:rPr>
        <w:t>支持监护仪进入夜间模式，隐私模式，演示模式和待机模式。</w:t>
      </w:r>
    </w:p>
    <w:p w14:paraId="3D0E0C1B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监护仪设计使用年限≥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</w:p>
    <w:p w14:paraId="208C6912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监护仪通过国家三类注册，</w:t>
      </w:r>
      <w:r>
        <w:rPr>
          <w:rFonts w:hint="eastAsia"/>
          <w:b w:val="0"/>
          <w:bCs w:val="0"/>
          <w:sz w:val="24"/>
          <w:szCs w:val="24"/>
        </w:rPr>
        <w:t>具备FDA认证</w:t>
      </w:r>
    </w:p>
    <w:p w14:paraId="71B29E04">
      <w:pPr>
        <w:pStyle w:val="5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标配锂电池</w:t>
      </w:r>
    </w:p>
    <w:p w14:paraId="3C1095CC"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F36E5"/>
    <w:multiLevelType w:val="singleLevel"/>
    <w:tmpl w:val="0D2F36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Theme="majorEastAsia" w:hAnsiTheme="majorEastAsia" w:eastAsiaTheme="majorEastAsia" w:cstheme="maj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hjYTk5NzQ2MWU5YjNjMjFjZjQxZWY2NGNlNjEifQ=="/>
    <w:docVar w:name="KSO_WPS_MARK_KEY" w:val="f8260241-bcd0-4318-ae32-cdca6a9414b5"/>
  </w:docVars>
  <w:rsids>
    <w:rsidRoot w:val="46857E96"/>
    <w:rsid w:val="0AF10769"/>
    <w:rsid w:val="295629E2"/>
    <w:rsid w:val="46857E96"/>
    <w:rsid w:val="49ED6655"/>
    <w:rsid w:val="5F30008D"/>
    <w:rsid w:val="63321833"/>
    <w:rsid w:val="6B4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582</Characters>
  <Lines>0</Lines>
  <Paragraphs>0</Paragraphs>
  <TotalTime>0</TotalTime>
  <ScaleCrop>false</ScaleCrop>
  <LinksUpToDate>false</LinksUpToDate>
  <CharactersWithSpaces>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2024-12-23T02:02:00Z</dcterms:created>
  <dc:creator>鲮鱼</dc:creator>
  <cp:lastModifiedBy>至诚之力</cp:lastModifiedBy>
  <dcterms:modified xsi:type="dcterms:W3CDTF">2024-12-28T02:05:24Z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213182E0AAEB413C8A39110ABD97B779_13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